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仿宋" w:hAnsi="仿宋" w:eastAsia="仿宋" w:cs="仿宋"/>
          <w:b/>
          <w:bCs/>
          <w:color w:val="000000"/>
          <w:sz w:val="72"/>
          <w:szCs w:val="72"/>
        </w:rPr>
      </w:pPr>
      <w:bookmarkStart w:id="1" w:name="_Toc15378441"/>
      <w:bookmarkStart w:id="2" w:name="_Toc15377425"/>
      <w:bookmarkStart w:id="3" w:name="_Toc15377193"/>
      <w:bookmarkStart w:id="4" w:name="_Toc15396597"/>
      <w:bookmarkStart w:id="5" w:name="_Toc15396475"/>
      <w:r>
        <w:rPr>
          <w:rFonts w:hint="eastAsia" w:ascii="仿宋" w:hAnsi="仿宋" w:eastAsia="仿宋" w:cs="仿宋"/>
          <w:b/>
          <w:bCs/>
          <w:color w:val="000000"/>
          <w:sz w:val="72"/>
          <w:szCs w:val="72"/>
        </w:rPr>
        <w:t>2020年度</w:t>
      </w:r>
      <w:bookmarkEnd w:id="1"/>
      <w:bookmarkEnd w:id="2"/>
      <w:bookmarkEnd w:id="3"/>
      <w:bookmarkEnd w:id="4"/>
      <w:bookmarkEnd w:id="5"/>
    </w:p>
    <w:p>
      <w:pPr>
        <w:adjustRightInd w:val="0"/>
        <w:snapToGrid w:val="0"/>
        <w:spacing w:line="360" w:lineRule="auto"/>
        <w:jc w:val="center"/>
        <w:outlineLvl w:val="0"/>
        <w:rPr>
          <w:rFonts w:ascii="仿宋" w:hAnsi="仿宋" w:eastAsia="仿宋" w:cs="仿宋"/>
          <w:b/>
          <w:bCs/>
          <w:color w:val="000000"/>
          <w:sz w:val="72"/>
          <w:szCs w:val="72"/>
        </w:rPr>
      </w:pPr>
      <w:bookmarkStart w:id="6" w:name="_Toc15396476"/>
      <w:bookmarkStart w:id="7" w:name="_Toc15377194"/>
      <w:bookmarkStart w:id="8" w:name="_Toc15377426"/>
      <w:bookmarkStart w:id="9" w:name="_Toc15396598"/>
      <w:bookmarkStart w:id="10" w:name="_Toc15378442"/>
      <w:r>
        <w:rPr>
          <w:rFonts w:hint="eastAsia" w:ascii="仿宋" w:hAnsi="仿宋" w:eastAsia="仿宋" w:cs="仿宋"/>
          <w:b/>
          <w:bCs/>
          <w:color w:val="000000"/>
          <w:sz w:val="72"/>
          <w:szCs w:val="72"/>
        </w:rPr>
        <w:t>四川省</w:t>
      </w:r>
      <w:bookmarkEnd w:id="0"/>
      <w:bookmarkStart w:id="11" w:name="_Toc15306268"/>
      <w:r>
        <w:rPr>
          <w:rFonts w:hint="eastAsia" w:ascii="仿宋" w:hAnsi="仿宋" w:eastAsia="仿宋" w:cs="仿宋"/>
          <w:b/>
          <w:bCs/>
          <w:color w:val="000000"/>
          <w:sz w:val="72"/>
          <w:szCs w:val="72"/>
        </w:rPr>
        <w:t>遂宁市人大常委会办公室部门决算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1"/>
      </w:pPr>
      <w:r>
        <w:rPr>
          <w:rFonts w:hint="eastAsia"/>
        </w:rPr>
        <w:t>公开时间：202</w:t>
      </w:r>
      <w:r>
        <w:rPr>
          <w:rFonts w:hint="eastAsia"/>
          <w:lang w:val="en-US" w:eastAsia="zh-CN"/>
        </w:rPr>
        <w:t>1</w:t>
      </w:r>
      <w:r>
        <w:rPr>
          <w:rFonts w:hint="eastAsia"/>
        </w:rPr>
        <w:t>年8月20日</w:t>
      </w:r>
    </w:p>
    <w:p/>
    <w:p>
      <w:pPr>
        <w:pStyle w:val="11"/>
        <w:adjustRightInd w:val="0"/>
        <w:snapToGrid w:val="0"/>
        <w:spacing w:before="0" w:line="440" w:lineRule="exact"/>
        <w:jc w:val="left"/>
        <w:rPr>
          <w:rFonts w:cstheme="minorBidi"/>
          <w:sz w:val="24"/>
          <w:szCs w:val="24"/>
        </w:rPr>
      </w:pPr>
      <w:r>
        <w:rPr>
          <w:rFonts w:hint="eastAsia"/>
          <w:sz w:val="24"/>
        </w:rPr>
        <w:t>第一部分</w:t>
      </w:r>
      <w:r>
        <w:rPr>
          <w:rFonts w:hint="eastAsia"/>
          <w:sz w:val="24"/>
          <w:lang w:val="en-US" w:eastAsia="zh-CN"/>
        </w:rPr>
        <w:t xml:space="preserve">  </w:t>
      </w:r>
      <w:r>
        <w:rPr>
          <w:rFonts w:hint="eastAsia"/>
          <w:sz w:val="24"/>
        </w:rPr>
        <w:t>部门概况</w:t>
      </w:r>
    </w:p>
    <w:p>
      <w:pPr>
        <w:pStyle w:val="12"/>
        <w:adjustRightInd w:val="0"/>
        <w:snapToGrid w:val="0"/>
        <w:spacing w:line="440" w:lineRule="exact"/>
        <w:jc w:val="left"/>
        <w:rPr>
          <w:rFonts w:ascii="仿宋" w:hAnsi="仿宋" w:eastAsia="仿宋"/>
          <w:sz w:val="24"/>
        </w:rPr>
      </w:pPr>
      <w:r>
        <w:rPr>
          <w:rFonts w:hint="eastAsia"/>
          <w:sz w:val="24"/>
        </w:rPr>
        <w:t>一、基本职能及主要工作</w:t>
      </w:r>
    </w:p>
    <w:p>
      <w:pPr>
        <w:pStyle w:val="12"/>
        <w:adjustRightInd w:val="0"/>
        <w:snapToGrid w:val="0"/>
        <w:spacing w:line="440" w:lineRule="exact"/>
        <w:jc w:val="left"/>
        <w:rPr>
          <w:rFonts w:ascii="仿宋" w:hAnsi="仿宋" w:eastAsia="仿宋" w:cstheme="minorBidi"/>
          <w:sz w:val="24"/>
        </w:rPr>
      </w:pPr>
      <w:r>
        <w:rPr>
          <w:rFonts w:hint="eastAsia"/>
          <w:sz w:val="24"/>
        </w:rPr>
        <w:t>二、机构设置</w:t>
      </w:r>
    </w:p>
    <w:p>
      <w:pPr>
        <w:pStyle w:val="11"/>
        <w:adjustRightInd w:val="0"/>
        <w:snapToGrid w:val="0"/>
        <w:spacing w:before="0" w:line="440" w:lineRule="exact"/>
        <w:jc w:val="left"/>
        <w:rPr>
          <w:sz w:val="24"/>
          <w:szCs w:val="24"/>
        </w:rPr>
      </w:pPr>
      <w:r>
        <w:rPr>
          <w:rFonts w:hint="eastAsia"/>
          <w:sz w:val="24"/>
        </w:rPr>
        <w:t>第二部分</w:t>
      </w:r>
      <w:r>
        <w:rPr>
          <w:rFonts w:hint="eastAsia"/>
          <w:sz w:val="24"/>
          <w:lang w:val="en-US" w:eastAsia="zh-CN"/>
        </w:rPr>
        <w:t xml:space="preserve">  </w:t>
      </w:r>
      <w:r>
        <w:rPr>
          <w:rFonts w:hint="eastAsia"/>
          <w:sz w:val="24"/>
        </w:rPr>
        <w:t>部门决算情况说明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2"/>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7"/>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rFonts w:ascii="仿宋" w:hAnsi="仿宋" w:eastAsia="仿宋"/>
          <w:sz w:val="24"/>
        </w:rPr>
        <w:tab/>
      </w:r>
    </w:p>
    <w:p>
      <w:pPr>
        <w:pStyle w:val="11"/>
        <w:adjustRightInd w:val="0"/>
        <w:snapToGrid w:val="0"/>
        <w:spacing w:before="0" w:line="440" w:lineRule="exact"/>
        <w:jc w:val="left"/>
        <w:rPr>
          <w:rFonts w:cstheme="minorBidi"/>
          <w:sz w:val="24"/>
          <w:szCs w:val="24"/>
        </w:rPr>
      </w:pPr>
      <w:r>
        <w:rPr>
          <w:rFonts w:hint="eastAsia"/>
          <w:sz w:val="24"/>
        </w:rPr>
        <w:t>第三部分</w:t>
      </w:r>
      <w:r>
        <w:rPr>
          <w:rFonts w:hint="eastAsia"/>
          <w:sz w:val="24"/>
          <w:lang w:val="en-US" w:eastAsia="zh-CN"/>
        </w:rPr>
        <w:t xml:space="preserve">  </w:t>
      </w:r>
      <w:r>
        <w:rPr>
          <w:rFonts w:hint="eastAsia"/>
          <w:sz w:val="24"/>
        </w:rPr>
        <w:t>名词解释</w:t>
      </w:r>
    </w:p>
    <w:p>
      <w:pPr>
        <w:pStyle w:val="11"/>
        <w:adjustRightInd w:val="0"/>
        <w:snapToGrid w:val="0"/>
        <w:spacing w:before="0" w:line="440" w:lineRule="exact"/>
        <w:jc w:val="left"/>
        <w:rPr>
          <w:rFonts w:cstheme="minorBidi"/>
          <w:sz w:val="24"/>
          <w:szCs w:val="24"/>
        </w:rPr>
      </w:pPr>
      <w:r>
        <w:rPr>
          <w:rFonts w:hint="eastAsia"/>
          <w:sz w:val="24"/>
        </w:rPr>
        <w:t>第四部分</w:t>
      </w:r>
      <w:r>
        <w:rPr>
          <w:rFonts w:hint="eastAsia"/>
          <w:sz w:val="24"/>
          <w:lang w:val="en-US" w:eastAsia="zh-CN"/>
        </w:rPr>
        <w:t xml:space="preserve">  </w:t>
      </w:r>
      <w:r>
        <w:rPr>
          <w:rFonts w:hint="eastAsia"/>
          <w:sz w:val="24"/>
        </w:rPr>
        <w:t>附件</w:t>
      </w:r>
    </w:p>
    <w:p>
      <w:pPr>
        <w:pStyle w:val="12"/>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2"/>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1"/>
        <w:adjustRightInd w:val="0"/>
        <w:snapToGrid w:val="0"/>
        <w:spacing w:before="0" w:line="440" w:lineRule="exact"/>
        <w:jc w:val="left"/>
        <w:rPr>
          <w:rFonts w:cstheme="minorBidi"/>
          <w:sz w:val="24"/>
          <w:szCs w:val="24"/>
        </w:rPr>
      </w:pPr>
      <w:r>
        <w:rPr>
          <w:rFonts w:hint="eastAsia"/>
          <w:sz w:val="24"/>
        </w:rPr>
        <w:t>第五部分</w:t>
      </w:r>
      <w:r>
        <w:rPr>
          <w:rFonts w:hint="eastAsia"/>
          <w:sz w:val="24"/>
          <w:lang w:val="en-US" w:eastAsia="zh-CN"/>
        </w:rPr>
        <w:t xml:space="preserve">  </w:t>
      </w:r>
      <w:r>
        <w:rPr>
          <w:rFonts w:hint="eastAsia"/>
          <w:sz w:val="24"/>
        </w:rPr>
        <w:t>附表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6"/>
          <w:rFonts w:ascii="黑体" w:hAnsi="黑体" w:eastAsia="黑体"/>
          <w:b/>
          <w:bCs w:val="0"/>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ind w:firstLine="640" w:firstLineChars="200"/>
        <w:rPr>
          <w:rStyle w:val="27"/>
          <w:rFonts w:ascii="仿宋" w:hAnsi="仿宋" w:eastAsia="仿宋"/>
          <w:b w:val="0"/>
          <w:bCs w:val="0"/>
        </w:rPr>
      </w:pPr>
      <w:bookmarkStart w:id="14" w:name="_Toc15396600"/>
      <w:bookmarkStart w:id="15" w:name="_Toc15377197"/>
      <w:r>
        <w:rPr>
          <w:rStyle w:val="27"/>
          <w:rFonts w:hint="eastAsia" w:ascii="黑体" w:hAnsi="黑体" w:eastAsia="黑体"/>
          <w:b w:val="0"/>
          <w:bCs w:val="0"/>
        </w:rPr>
        <w:t>一、基本职能及主要工作</w:t>
      </w:r>
      <w:bookmarkEnd w:id="14"/>
      <w:bookmarkEnd w:id="15"/>
    </w:p>
    <w:p>
      <w:pPr>
        <w:autoSpaceDE w:val="0"/>
        <w:snapToGrid w:val="0"/>
        <w:spacing w:line="600" w:lineRule="exact"/>
        <w:ind w:firstLine="640" w:firstLineChars="200"/>
        <w:rPr>
          <w:rFonts w:hint="eastAsia" w:ascii="仿宋" w:hAnsi="仿宋" w:eastAsia="仿宋"/>
          <w:sz w:val="32"/>
          <w:szCs w:val="32"/>
          <w:lang w:val="zh-CN"/>
        </w:rPr>
      </w:pPr>
      <w:bookmarkStart w:id="16" w:name="_Toc15377199"/>
      <w:bookmarkStart w:id="17" w:name="_Toc15378446"/>
      <w:r>
        <w:rPr>
          <w:rFonts w:hint="eastAsia" w:ascii="仿宋" w:hAnsi="仿宋" w:eastAsia="仿宋"/>
          <w:sz w:val="32"/>
          <w:szCs w:val="32"/>
          <w:lang w:eastAsia="zh-CN"/>
        </w:rPr>
        <w:t>（一）</w:t>
      </w:r>
      <w:r>
        <w:rPr>
          <w:rFonts w:hint="eastAsia" w:ascii="仿宋" w:hAnsi="仿宋" w:eastAsia="仿宋"/>
          <w:sz w:val="32"/>
          <w:szCs w:val="32"/>
        </w:rPr>
        <w:t>遂宁市人民代表大会常务委员会办公室职能简介</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 承担市人民代表大会会议、常委会会议、常委会党组会议、常委会主任会议、常委会机关党组会议</w:t>
      </w:r>
      <w:r>
        <w:rPr>
          <w:rFonts w:hint="eastAsia" w:ascii="仿宋" w:hAnsi="仿宋" w:eastAsia="仿宋"/>
          <w:sz w:val="32"/>
          <w:szCs w:val="32"/>
          <w:lang w:eastAsia="zh-CN"/>
        </w:rPr>
        <w:t>等</w:t>
      </w:r>
      <w:r>
        <w:rPr>
          <w:rFonts w:hint="eastAsia" w:ascii="仿宋" w:hAnsi="仿宋" w:eastAsia="仿宋"/>
          <w:sz w:val="32"/>
          <w:szCs w:val="32"/>
        </w:rPr>
        <w:t>会务工作及会议决定事项的督办工作</w:t>
      </w:r>
      <w:r>
        <w:rPr>
          <w:rFonts w:hint="eastAsia" w:ascii="仿宋" w:hAnsi="仿宋" w:eastAsia="仿宋"/>
          <w:sz w:val="32"/>
          <w:szCs w:val="32"/>
          <w:lang w:eastAsia="zh-CN"/>
        </w:rPr>
        <w:t>。</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 负责常委会组成人员视察和常委会执法检查</w:t>
      </w:r>
      <w:r>
        <w:rPr>
          <w:rFonts w:hint="eastAsia" w:ascii="仿宋" w:hAnsi="仿宋" w:eastAsia="仿宋"/>
          <w:sz w:val="32"/>
          <w:szCs w:val="32"/>
          <w:lang w:eastAsia="zh-CN"/>
        </w:rPr>
        <w:t>等</w:t>
      </w:r>
      <w:r>
        <w:rPr>
          <w:rFonts w:hint="eastAsia" w:ascii="仿宋" w:hAnsi="仿宋" w:eastAsia="仿宋"/>
          <w:sz w:val="32"/>
          <w:szCs w:val="32"/>
        </w:rPr>
        <w:t>有关工</w:t>
      </w:r>
      <w:r>
        <w:rPr>
          <w:rFonts w:hint="eastAsia" w:ascii="仿宋" w:hAnsi="仿宋" w:eastAsia="仿宋"/>
          <w:sz w:val="32"/>
          <w:szCs w:val="32"/>
          <w:lang w:eastAsia="zh-CN"/>
        </w:rPr>
        <w:t>作。</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3. 负责市人大常委会</w:t>
      </w:r>
      <w:r>
        <w:rPr>
          <w:rFonts w:hint="eastAsia" w:ascii="仿宋" w:hAnsi="仿宋" w:eastAsia="仿宋"/>
          <w:sz w:val="32"/>
          <w:szCs w:val="32"/>
          <w:lang w:eastAsia="zh-CN"/>
        </w:rPr>
        <w:t>机关</w:t>
      </w:r>
      <w:r>
        <w:rPr>
          <w:rFonts w:hint="eastAsia" w:ascii="仿宋" w:hAnsi="仿宋" w:eastAsia="仿宋"/>
          <w:sz w:val="32"/>
          <w:szCs w:val="32"/>
        </w:rPr>
        <w:t>的文电、档案、保密、文印</w:t>
      </w:r>
      <w:r>
        <w:rPr>
          <w:rFonts w:hint="eastAsia" w:ascii="仿宋" w:hAnsi="仿宋" w:eastAsia="仿宋"/>
          <w:sz w:val="32"/>
          <w:szCs w:val="32"/>
          <w:lang w:eastAsia="zh-CN"/>
        </w:rPr>
        <w:t>等</w:t>
      </w:r>
      <w:r>
        <w:rPr>
          <w:rFonts w:hint="eastAsia" w:ascii="仿宋" w:hAnsi="仿宋" w:eastAsia="仿宋"/>
          <w:sz w:val="32"/>
          <w:szCs w:val="32"/>
        </w:rPr>
        <w:t>工作；负责常委会机关信息网络建设和办公自动化建设；负责编辑《遂宁市人大常委会</w:t>
      </w:r>
      <w:r>
        <w:rPr>
          <w:rFonts w:hint="eastAsia" w:ascii="仿宋" w:hAnsi="仿宋" w:eastAsia="仿宋"/>
          <w:sz w:val="32"/>
          <w:szCs w:val="32"/>
          <w:lang w:eastAsia="zh-CN"/>
        </w:rPr>
        <w:t>公报</w:t>
      </w:r>
      <w:r>
        <w:rPr>
          <w:rFonts w:hint="eastAsia" w:ascii="仿宋" w:hAnsi="仿宋" w:eastAsia="仿宋"/>
          <w:sz w:val="32"/>
          <w:szCs w:val="32"/>
        </w:rPr>
        <w:t>》</w:t>
      </w:r>
      <w:r>
        <w:rPr>
          <w:rFonts w:hint="eastAsia" w:ascii="仿宋" w:hAnsi="仿宋" w:eastAsia="仿宋"/>
          <w:sz w:val="32"/>
          <w:szCs w:val="32"/>
          <w:lang w:eastAsia="zh-CN"/>
        </w:rPr>
        <w:t>。</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4. 受主任会议委托，拟订有关议案草</w:t>
      </w:r>
      <w:r>
        <w:rPr>
          <w:rFonts w:hint="eastAsia" w:ascii="仿宋" w:hAnsi="仿宋" w:eastAsia="仿宋"/>
          <w:sz w:val="32"/>
          <w:szCs w:val="32"/>
          <w:lang w:eastAsia="zh-CN"/>
        </w:rPr>
        <w:t>案。</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5. 承办市人大常委会同市委、市</w:t>
      </w:r>
      <w:r>
        <w:rPr>
          <w:rFonts w:hint="eastAsia" w:ascii="仿宋" w:hAnsi="仿宋" w:eastAsia="仿宋"/>
          <w:sz w:val="32"/>
          <w:szCs w:val="32"/>
          <w:lang w:eastAsia="zh-CN"/>
        </w:rPr>
        <w:t>“</w:t>
      </w:r>
      <w:r>
        <w:rPr>
          <w:rFonts w:hint="eastAsia" w:ascii="仿宋" w:hAnsi="仿宋" w:eastAsia="仿宋"/>
          <w:sz w:val="32"/>
          <w:szCs w:val="32"/>
        </w:rPr>
        <w:t>一府一委两院”、军分区以及县</w:t>
      </w:r>
      <w:r>
        <w:rPr>
          <w:rFonts w:hint="eastAsia" w:ascii="仿宋" w:hAnsi="仿宋" w:eastAsia="仿宋"/>
          <w:sz w:val="32"/>
          <w:szCs w:val="32"/>
          <w:lang w:eastAsia="zh-CN"/>
        </w:rPr>
        <w:t>（市、区）</w:t>
      </w:r>
      <w:r>
        <w:rPr>
          <w:rFonts w:hint="eastAsia" w:ascii="仿宋" w:hAnsi="仿宋" w:eastAsia="仿宋"/>
          <w:sz w:val="32"/>
          <w:szCs w:val="32"/>
        </w:rPr>
        <w:t>人大常委会联系的有关工作，统一答复县</w:t>
      </w:r>
      <w:r>
        <w:rPr>
          <w:rFonts w:hint="eastAsia" w:ascii="仿宋" w:hAnsi="仿宋" w:eastAsia="仿宋"/>
          <w:sz w:val="32"/>
          <w:szCs w:val="32"/>
          <w:lang w:eastAsia="zh-CN"/>
        </w:rPr>
        <w:t>（市、</w:t>
      </w:r>
      <w:r>
        <w:rPr>
          <w:rFonts w:hint="eastAsia" w:ascii="仿宋" w:hAnsi="仿宋" w:eastAsia="仿宋"/>
          <w:sz w:val="32"/>
          <w:szCs w:val="32"/>
        </w:rPr>
        <w:t>区</w:t>
      </w:r>
      <w:r>
        <w:rPr>
          <w:rFonts w:hint="eastAsia" w:ascii="仿宋" w:hAnsi="仿宋" w:eastAsia="仿宋"/>
          <w:sz w:val="32"/>
          <w:szCs w:val="32"/>
          <w:lang w:eastAsia="zh-CN"/>
        </w:rPr>
        <w:t>）</w:t>
      </w:r>
      <w:r>
        <w:rPr>
          <w:rFonts w:hint="eastAsia" w:ascii="仿宋" w:hAnsi="仿宋" w:eastAsia="仿宋"/>
          <w:sz w:val="32"/>
          <w:szCs w:val="32"/>
        </w:rPr>
        <w:t>人大常委会及市级有关部门对有关问题的询问</w:t>
      </w:r>
      <w:r>
        <w:rPr>
          <w:rFonts w:hint="eastAsia" w:ascii="仿宋" w:hAnsi="仿宋" w:eastAsia="仿宋"/>
          <w:sz w:val="32"/>
          <w:szCs w:val="32"/>
          <w:lang w:eastAsia="zh-CN"/>
        </w:rPr>
        <w:t>。</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6. 负责市人大常委会的宣传工作，组织对市人民代表大会、常委会会议、常委会主任会议以及对民主法制建设、人大制度、人大工作的宣传报道。</w:t>
      </w:r>
      <w:r>
        <w:rPr>
          <w:rFonts w:hint="eastAsia" w:ascii="仿宋" w:hAnsi="仿宋" w:eastAsia="仿宋"/>
          <w:sz w:val="32"/>
          <w:szCs w:val="32"/>
          <w:lang w:eastAsia="zh-CN"/>
        </w:rPr>
        <w:t>人大</w:t>
      </w:r>
      <w:r>
        <w:rPr>
          <w:rFonts w:hint="eastAsia" w:ascii="仿宋" w:hAnsi="仿宋" w:eastAsia="仿宋"/>
          <w:sz w:val="32"/>
          <w:szCs w:val="32"/>
        </w:rPr>
        <w:t>新闻</w:t>
      </w:r>
      <w:r>
        <w:rPr>
          <w:rFonts w:hint="eastAsia" w:ascii="仿宋" w:hAnsi="仿宋" w:eastAsia="仿宋"/>
          <w:sz w:val="32"/>
          <w:szCs w:val="32"/>
          <w:lang w:eastAsia="zh-CN"/>
        </w:rPr>
        <w:t>奖</w:t>
      </w:r>
      <w:r>
        <w:rPr>
          <w:rFonts w:hint="eastAsia" w:ascii="仿宋" w:hAnsi="仿宋" w:eastAsia="仿宋"/>
          <w:sz w:val="32"/>
          <w:szCs w:val="32"/>
        </w:rPr>
        <w:t>的评选工作</w:t>
      </w:r>
      <w:r>
        <w:rPr>
          <w:rFonts w:hint="eastAsia" w:ascii="仿宋" w:hAnsi="仿宋" w:eastAsia="仿宋"/>
          <w:sz w:val="32"/>
          <w:szCs w:val="32"/>
          <w:lang w:eastAsia="zh-CN"/>
        </w:rPr>
        <w:t>。</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7. 围绕市人大常委会会议审议的议题及机关工作开展调查研究、提供调查报告、研究报告及有关资</w:t>
      </w:r>
      <w:r>
        <w:rPr>
          <w:rFonts w:hint="eastAsia" w:ascii="仿宋" w:hAnsi="仿宋" w:eastAsia="仿宋"/>
          <w:sz w:val="32"/>
          <w:szCs w:val="32"/>
          <w:lang w:eastAsia="zh-CN"/>
        </w:rPr>
        <w:t>料。</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8. 负责市人大常委会工作报告、年度工作计划、有关文件</w:t>
      </w:r>
      <w:r>
        <w:rPr>
          <w:rFonts w:hint="eastAsia" w:ascii="仿宋" w:hAnsi="仿宋" w:eastAsia="仿宋"/>
          <w:sz w:val="32"/>
          <w:szCs w:val="32"/>
          <w:lang w:eastAsia="zh-CN"/>
        </w:rPr>
        <w:t>以及</w:t>
      </w:r>
      <w:r>
        <w:rPr>
          <w:rFonts w:hint="eastAsia" w:ascii="仿宋" w:hAnsi="仿宋" w:eastAsia="仿宋"/>
          <w:sz w:val="32"/>
          <w:szCs w:val="32"/>
        </w:rPr>
        <w:t>领导同志重要讲话</w:t>
      </w:r>
      <w:r>
        <w:rPr>
          <w:rFonts w:hint="eastAsia" w:ascii="仿宋" w:hAnsi="仿宋" w:eastAsia="仿宋"/>
          <w:sz w:val="32"/>
          <w:szCs w:val="32"/>
          <w:lang w:eastAsia="zh-CN"/>
        </w:rPr>
        <w:t>材料</w:t>
      </w:r>
      <w:r>
        <w:rPr>
          <w:rFonts w:hint="eastAsia" w:ascii="仿宋" w:hAnsi="仿宋" w:eastAsia="仿宋"/>
          <w:sz w:val="32"/>
          <w:szCs w:val="32"/>
        </w:rPr>
        <w:t>稿起草工</w:t>
      </w:r>
      <w:r>
        <w:rPr>
          <w:rFonts w:hint="eastAsia" w:ascii="仿宋" w:hAnsi="仿宋" w:eastAsia="仿宋"/>
          <w:sz w:val="32"/>
          <w:szCs w:val="32"/>
          <w:lang w:eastAsia="zh-CN"/>
        </w:rPr>
        <w:t>作。</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9. 负责市人大机关图书室、资料室的</w:t>
      </w:r>
      <w:r>
        <w:rPr>
          <w:rFonts w:hint="eastAsia" w:ascii="仿宋" w:hAnsi="仿宋" w:eastAsia="仿宋"/>
          <w:sz w:val="32"/>
          <w:szCs w:val="32"/>
          <w:lang w:eastAsia="zh-CN"/>
        </w:rPr>
        <w:t>管理维护</w:t>
      </w:r>
      <w:r>
        <w:rPr>
          <w:rFonts w:hint="eastAsia" w:ascii="仿宋" w:hAnsi="仿宋" w:eastAsia="仿宋"/>
          <w:sz w:val="32"/>
          <w:szCs w:val="32"/>
        </w:rPr>
        <w:t>工作</w:t>
      </w:r>
      <w:r>
        <w:rPr>
          <w:rFonts w:hint="eastAsia" w:ascii="仿宋" w:hAnsi="仿宋" w:eastAsia="仿宋"/>
          <w:sz w:val="32"/>
          <w:szCs w:val="32"/>
          <w:lang w:eastAsia="zh-CN"/>
        </w:rPr>
        <w:t>，</w:t>
      </w:r>
      <w:r>
        <w:rPr>
          <w:rFonts w:hint="eastAsia" w:ascii="仿宋" w:hAnsi="仿宋" w:eastAsia="仿宋"/>
          <w:sz w:val="32"/>
          <w:szCs w:val="32"/>
        </w:rPr>
        <w:t>编写资料信息的工作；负责机关和上级人大刊物的征订发行工作</w:t>
      </w:r>
      <w:r>
        <w:rPr>
          <w:rFonts w:hint="eastAsia" w:ascii="仿宋" w:hAnsi="仿宋" w:eastAsia="仿宋"/>
          <w:sz w:val="32"/>
          <w:szCs w:val="32"/>
          <w:lang w:eastAsia="zh-CN"/>
        </w:rPr>
        <w:t>。</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10. 承担人民代表大会制度与人大工作有关的理论研究工</w:t>
      </w:r>
      <w:r>
        <w:rPr>
          <w:rFonts w:hint="eastAsia" w:ascii="仿宋" w:hAnsi="仿宋" w:eastAsia="仿宋"/>
          <w:sz w:val="32"/>
          <w:szCs w:val="32"/>
          <w:lang w:eastAsia="zh-CN"/>
        </w:rPr>
        <w:t>作。</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11. 起草、修改人大</w:t>
      </w:r>
      <w:r>
        <w:rPr>
          <w:rFonts w:hint="eastAsia" w:ascii="仿宋" w:hAnsi="仿宋" w:eastAsia="仿宋"/>
          <w:sz w:val="32"/>
          <w:szCs w:val="32"/>
          <w:lang w:eastAsia="zh-CN"/>
        </w:rPr>
        <w:t>常委会机关</w:t>
      </w:r>
      <w:r>
        <w:rPr>
          <w:rFonts w:hint="eastAsia" w:ascii="仿宋" w:hAnsi="仿宋" w:eastAsia="仿宋"/>
          <w:sz w:val="32"/>
          <w:szCs w:val="32"/>
        </w:rPr>
        <w:t>自身建设</w:t>
      </w:r>
      <w:r>
        <w:rPr>
          <w:rFonts w:hint="eastAsia" w:ascii="仿宋" w:hAnsi="仿宋" w:eastAsia="仿宋"/>
          <w:sz w:val="32"/>
          <w:szCs w:val="32"/>
          <w:lang w:eastAsia="zh-CN"/>
        </w:rPr>
        <w:t>等</w:t>
      </w:r>
      <w:r>
        <w:rPr>
          <w:rFonts w:hint="eastAsia" w:ascii="仿宋" w:hAnsi="仿宋" w:eastAsia="仿宋"/>
          <w:sz w:val="32"/>
          <w:szCs w:val="32"/>
        </w:rPr>
        <w:t>方面制度；负责机关</w:t>
      </w:r>
      <w:r>
        <w:rPr>
          <w:rFonts w:hint="eastAsia" w:ascii="仿宋" w:hAnsi="仿宋" w:eastAsia="仿宋"/>
          <w:sz w:val="32"/>
          <w:szCs w:val="32"/>
          <w:lang w:eastAsia="zh-CN"/>
        </w:rPr>
        <w:t>日常管理、干部教育等制度建设。</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12. 负责市人大</w:t>
      </w:r>
      <w:r>
        <w:rPr>
          <w:rFonts w:hint="eastAsia" w:ascii="仿宋" w:hAnsi="仿宋" w:eastAsia="仿宋"/>
          <w:sz w:val="32"/>
          <w:szCs w:val="32"/>
          <w:lang w:eastAsia="zh-CN"/>
        </w:rPr>
        <w:t>常委会</w:t>
      </w:r>
      <w:r>
        <w:rPr>
          <w:rFonts w:hint="eastAsia" w:ascii="仿宋" w:hAnsi="仿宋" w:eastAsia="仿宋"/>
          <w:sz w:val="32"/>
          <w:szCs w:val="32"/>
        </w:rPr>
        <w:t>机关的人事管理，</w:t>
      </w:r>
      <w:r>
        <w:rPr>
          <w:rFonts w:hint="eastAsia" w:ascii="仿宋" w:hAnsi="仿宋" w:eastAsia="仿宋"/>
          <w:sz w:val="32"/>
          <w:szCs w:val="32"/>
          <w:lang w:eastAsia="zh-CN"/>
        </w:rPr>
        <w:t>负责机关</w:t>
      </w:r>
      <w:r>
        <w:rPr>
          <w:rFonts w:hint="eastAsia" w:ascii="仿宋" w:hAnsi="仿宋" w:eastAsia="仿宋"/>
          <w:sz w:val="32"/>
          <w:szCs w:val="32"/>
        </w:rPr>
        <w:t>党的思想、组织、作风建设</w:t>
      </w:r>
      <w:r>
        <w:rPr>
          <w:rFonts w:hint="eastAsia" w:ascii="仿宋" w:hAnsi="仿宋" w:eastAsia="仿宋"/>
          <w:sz w:val="32"/>
          <w:szCs w:val="32"/>
          <w:lang w:eastAsia="zh-CN"/>
        </w:rPr>
        <w:t>以</w:t>
      </w:r>
      <w:r>
        <w:rPr>
          <w:rFonts w:hint="eastAsia" w:ascii="仿宋" w:hAnsi="仿宋" w:eastAsia="仿宋"/>
          <w:sz w:val="32"/>
          <w:szCs w:val="32"/>
        </w:rPr>
        <w:t>及精神文明建设</w:t>
      </w:r>
      <w:r>
        <w:rPr>
          <w:rFonts w:hint="eastAsia" w:ascii="仿宋" w:hAnsi="仿宋" w:eastAsia="仿宋"/>
          <w:sz w:val="32"/>
          <w:szCs w:val="32"/>
          <w:lang w:eastAsia="zh-CN"/>
        </w:rPr>
        <w:t>。</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13. 负责机关离退休人员的服务管理工作</w:t>
      </w:r>
      <w:r>
        <w:rPr>
          <w:rFonts w:hint="eastAsia" w:ascii="仿宋" w:hAnsi="仿宋" w:eastAsia="仿宋"/>
          <w:sz w:val="32"/>
          <w:szCs w:val="32"/>
          <w:lang w:eastAsia="zh-CN"/>
        </w:rPr>
        <w:t>。</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14. 负责市人大</w:t>
      </w:r>
      <w:r>
        <w:rPr>
          <w:rFonts w:hint="eastAsia" w:ascii="仿宋" w:hAnsi="仿宋" w:eastAsia="仿宋"/>
          <w:sz w:val="32"/>
          <w:szCs w:val="32"/>
          <w:lang w:eastAsia="zh-CN"/>
        </w:rPr>
        <w:t>常委</w:t>
      </w:r>
      <w:r>
        <w:rPr>
          <w:rFonts w:hint="eastAsia" w:ascii="仿宋" w:hAnsi="仿宋" w:eastAsia="仿宋"/>
          <w:sz w:val="32"/>
          <w:szCs w:val="32"/>
        </w:rPr>
        <w:t>机关信访工作</w:t>
      </w:r>
      <w:r>
        <w:rPr>
          <w:rFonts w:hint="eastAsia" w:ascii="仿宋" w:hAnsi="仿宋" w:eastAsia="仿宋"/>
          <w:sz w:val="32"/>
          <w:szCs w:val="32"/>
          <w:lang w:eastAsia="zh-CN"/>
        </w:rPr>
        <w:t>。</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15. 协办省人大常委会</w:t>
      </w:r>
      <w:r>
        <w:rPr>
          <w:rFonts w:hint="eastAsia" w:ascii="仿宋" w:hAnsi="仿宋" w:eastAsia="仿宋"/>
          <w:sz w:val="32"/>
          <w:szCs w:val="32"/>
          <w:lang w:eastAsia="zh-CN"/>
        </w:rPr>
        <w:t>工作组莅</w:t>
      </w:r>
      <w:r>
        <w:rPr>
          <w:rFonts w:hint="eastAsia" w:ascii="仿宋" w:hAnsi="仿宋" w:eastAsia="仿宋"/>
          <w:sz w:val="32"/>
          <w:szCs w:val="32"/>
        </w:rPr>
        <w:t>遂视察</w:t>
      </w:r>
      <w:r>
        <w:rPr>
          <w:rFonts w:hint="eastAsia" w:ascii="仿宋" w:hAnsi="仿宋" w:eastAsia="仿宋"/>
          <w:sz w:val="32"/>
          <w:szCs w:val="32"/>
          <w:lang w:eastAsia="zh-CN"/>
        </w:rPr>
        <w:t>调研等政务服务</w:t>
      </w:r>
      <w:r>
        <w:rPr>
          <w:rFonts w:hint="eastAsia" w:ascii="仿宋" w:hAnsi="仿宋" w:eastAsia="仿宋"/>
          <w:sz w:val="32"/>
          <w:szCs w:val="32"/>
        </w:rPr>
        <w:t>工作，承办</w:t>
      </w:r>
      <w:r>
        <w:rPr>
          <w:rFonts w:hint="eastAsia" w:ascii="仿宋" w:hAnsi="仿宋" w:eastAsia="仿宋"/>
          <w:sz w:val="32"/>
          <w:szCs w:val="32"/>
          <w:lang w:eastAsia="zh-CN"/>
        </w:rPr>
        <w:t>其他</w:t>
      </w:r>
      <w:r>
        <w:rPr>
          <w:rFonts w:hint="eastAsia" w:ascii="仿宋" w:hAnsi="仿宋" w:eastAsia="仿宋"/>
          <w:sz w:val="32"/>
          <w:szCs w:val="32"/>
        </w:rPr>
        <w:t>市</w:t>
      </w:r>
      <w:r>
        <w:rPr>
          <w:rFonts w:hint="eastAsia" w:ascii="仿宋" w:hAnsi="仿宋" w:eastAsia="仿宋"/>
          <w:sz w:val="32"/>
          <w:szCs w:val="32"/>
          <w:lang w:eastAsia="zh-CN"/>
        </w:rPr>
        <w:t>（州）</w:t>
      </w:r>
      <w:r>
        <w:rPr>
          <w:rFonts w:hint="eastAsia" w:ascii="仿宋" w:hAnsi="仿宋" w:eastAsia="仿宋"/>
          <w:sz w:val="32"/>
          <w:szCs w:val="32"/>
        </w:rPr>
        <w:t>人大常委会及本市县</w:t>
      </w:r>
      <w:r>
        <w:rPr>
          <w:rFonts w:hint="eastAsia" w:ascii="仿宋" w:hAnsi="仿宋" w:eastAsia="仿宋"/>
          <w:sz w:val="32"/>
          <w:szCs w:val="32"/>
          <w:lang w:val="en-US" w:eastAsia="zh-CN"/>
        </w:rPr>
        <w:t>(市、区）</w:t>
      </w:r>
      <w:r>
        <w:rPr>
          <w:rFonts w:hint="eastAsia" w:ascii="仿宋" w:hAnsi="仿宋" w:eastAsia="仿宋"/>
          <w:sz w:val="32"/>
          <w:szCs w:val="32"/>
        </w:rPr>
        <w:t>人大常委会</w:t>
      </w:r>
      <w:r>
        <w:rPr>
          <w:rFonts w:hint="eastAsia" w:ascii="仿宋" w:hAnsi="仿宋" w:eastAsia="仿宋"/>
          <w:sz w:val="32"/>
          <w:szCs w:val="32"/>
          <w:lang w:eastAsia="zh-CN"/>
        </w:rPr>
        <w:t>工作组</w:t>
      </w:r>
      <w:r>
        <w:rPr>
          <w:rFonts w:hint="eastAsia" w:ascii="仿宋" w:hAnsi="仿宋" w:eastAsia="仿宋"/>
          <w:sz w:val="32"/>
          <w:szCs w:val="32"/>
        </w:rPr>
        <w:t>来遂的</w:t>
      </w:r>
      <w:r>
        <w:rPr>
          <w:rFonts w:hint="eastAsia" w:ascii="仿宋" w:hAnsi="仿宋" w:eastAsia="仿宋"/>
          <w:sz w:val="32"/>
          <w:szCs w:val="32"/>
          <w:lang w:eastAsia="zh-CN"/>
        </w:rPr>
        <w:t>政务服务</w:t>
      </w:r>
      <w:r>
        <w:rPr>
          <w:rFonts w:hint="eastAsia" w:ascii="仿宋" w:hAnsi="仿宋" w:eastAsia="仿宋"/>
          <w:sz w:val="32"/>
          <w:szCs w:val="32"/>
        </w:rPr>
        <w:t>工作</w:t>
      </w:r>
      <w:r>
        <w:rPr>
          <w:rFonts w:hint="eastAsia" w:ascii="仿宋" w:hAnsi="仿宋" w:eastAsia="仿宋"/>
          <w:sz w:val="32"/>
          <w:szCs w:val="32"/>
          <w:lang w:eastAsia="zh-CN"/>
        </w:rPr>
        <w:t>。</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16. 负责市人大</w:t>
      </w:r>
      <w:r>
        <w:rPr>
          <w:rFonts w:hint="eastAsia" w:ascii="仿宋" w:hAnsi="仿宋" w:eastAsia="仿宋"/>
          <w:sz w:val="32"/>
          <w:szCs w:val="32"/>
          <w:lang w:eastAsia="zh-CN"/>
        </w:rPr>
        <w:t>常委会</w:t>
      </w:r>
      <w:r>
        <w:rPr>
          <w:rFonts w:hint="eastAsia" w:ascii="仿宋" w:hAnsi="仿宋" w:eastAsia="仿宋"/>
          <w:sz w:val="32"/>
          <w:szCs w:val="32"/>
        </w:rPr>
        <w:t>机关的财务管理、国有资产管理等行政事务管理工</w:t>
      </w:r>
      <w:r>
        <w:rPr>
          <w:rFonts w:hint="eastAsia" w:ascii="仿宋" w:hAnsi="仿宋" w:eastAsia="仿宋"/>
          <w:sz w:val="32"/>
          <w:szCs w:val="32"/>
          <w:lang w:eastAsia="zh-CN"/>
        </w:rPr>
        <w:t>作。</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17. 负责市人大</w:t>
      </w:r>
      <w:r>
        <w:rPr>
          <w:rFonts w:hint="eastAsia" w:ascii="仿宋" w:hAnsi="仿宋" w:eastAsia="仿宋"/>
          <w:sz w:val="32"/>
          <w:szCs w:val="32"/>
          <w:lang w:eastAsia="zh-CN"/>
        </w:rPr>
        <w:t>常委会</w:t>
      </w:r>
      <w:r>
        <w:rPr>
          <w:rFonts w:hint="eastAsia" w:ascii="仿宋" w:hAnsi="仿宋" w:eastAsia="仿宋"/>
          <w:sz w:val="32"/>
          <w:szCs w:val="32"/>
        </w:rPr>
        <w:t>机关的安全保卫工作</w:t>
      </w:r>
      <w:r>
        <w:rPr>
          <w:rFonts w:hint="eastAsia" w:ascii="仿宋" w:hAnsi="仿宋" w:eastAsia="仿宋"/>
          <w:sz w:val="32"/>
          <w:szCs w:val="32"/>
          <w:lang w:eastAsia="zh-CN"/>
        </w:rPr>
        <w:t>。</w:t>
      </w:r>
    </w:p>
    <w:p>
      <w:pPr>
        <w:autoSpaceDE w:val="0"/>
        <w:snapToGrid w:val="0"/>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18. 受市人大常委会</w:t>
      </w:r>
      <w:r>
        <w:rPr>
          <w:rFonts w:hint="eastAsia" w:ascii="仿宋" w:hAnsi="仿宋" w:eastAsia="仿宋"/>
          <w:sz w:val="32"/>
          <w:szCs w:val="32"/>
          <w:lang w:eastAsia="zh-CN"/>
        </w:rPr>
        <w:t>会议</w:t>
      </w:r>
      <w:r>
        <w:rPr>
          <w:rFonts w:hint="eastAsia" w:ascii="仿宋" w:hAnsi="仿宋" w:eastAsia="仿宋"/>
          <w:sz w:val="32"/>
          <w:szCs w:val="32"/>
        </w:rPr>
        <w:t>、常委会党组会议、常委会主任会议和</w:t>
      </w:r>
      <w:r>
        <w:rPr>
          <w:rFonts w:hint="eastAsia" w:ascii="仿宋" w:hAnsi="仿宋" w:eastAsia="仿宋"/>
          <w:sz w:val="32"/>
          <w:szCs w:val="32"/>
          <w:lang w:eastAsia="zh-CN"/>
        </w:rPr>
        <w:t>市人大</w:t>
      </w:r>
      <w:r>
        <w:rPr>
          <w:rFonts w:hint="eastAsia" w:ascii="仿宋" w:hAnsi="仿宋" w:eastAsia="仿宋"/>
          <w:sz w:val="32"/>
          <w:szCs w:val="32"/>
        </w:rPr>
        <w:t>常委会主任、副主任、秘书长的委托，</w:t>
      </w:r>
      <w:r>
        <w:rPr>
          <w:rFonts w:hint="eastAsia" w:ascii="仿宋" w:hAnsi="仿宋" w:eastAsia="仿宋"/>
          <w:sz w:val="32"/>
          <w:szCs w:val="32"/>
          <w:lang w:eastAsia="zh-CN"/>
        </w:rPr>
        <w:t>统筹</w:t>
      </w:r>
      <w:r>
        <w:rPr>
          <w:rFonts w:hint="eastAsia" w:ascii="仿宋" w:hAnsi="仿宋" w:eastAsia="仿宋"/>
          <w:sz w:val="32"/>
          <w:szCs w:val="32"/>
        </w:rPr>
        <w:t>协调</w:t>
      </w:r>
      <w:r>
        <w:rPr>
          <w:rFonts w:hint="eastAsia" w:ascii="仿宋" w:hAnsi="仿宋" w:eastAsia="仿宋"/>
          <w:sz w:val="32"/>
          <w:szCs w:val="32"/>
          <w:lang w:eastAsia="zh-CN"/>
        </w:rPr>
        <w:t>人大</w:t>
      </w:r>
      <w:r>
        <w:rPr>
          <w:rFonts w:hint="eastAsia" w:ascii="仿宋" w:hAnsi="仿宋" w:eastAsia="仿宋"/>
          <w:sz w:val="32"/>
          <w:szCs w:val="32"/>
        </w:rPr>
        <w:t>专门委员会</w:t>
      </w:r>
      <w:r>
        <w:rPr>
          <w:rFonts w:hint="eastAsia" w:ascii="仿宋" w:hAnsi="仿宋" w:eastAsia="仿宋"/>
          <w:sz w:val="32"/>
          <w:szCs w:val="32"/>
          <w:lang w:eastAsia="zh-CN"/>
        </w:rPr>
        <w:t>、常委会工作</w:t>
      </w:r>
      <w:r>
        <w:rPr>
          <w:rFonts w:hint="eastAsia" w:ascii="仿宋" w:hAnsi="仿宋" w:eastAsia="仿宋"/>
          <w:sz w:val="32"/>
          <w:szCs w:val="32"/>
        </w:rPr>
        <w:t>机构</w:t>
      </w:r>
      <w:r>
        <w:rPr>
          <w:rFonts w:hint="eastAsia" w:ascii="仿宋" w:hAnsi="仿宋" w:eastAsia="仿宋"/>
          <w:sz w:val="32"/>
          <w:szCs w:val="32"/>
          <w:lang w:eastAsia="zh-CN"/>
        </w:rPr>
        <w:t>联系</w:t>
      </w:r>
      <w:r>
        <w:rPr>
          <w:rFonts w:hint="eastAsia" w:ascii="仿宋" w:hAnsi="仿宋" w:eastAsia="仿宋"/>
          <w:sz w:val="32"/>
          <w:szCs w:val="32"/>
        </w:rPr>
        <w:t>工</w:t>
      </w:r>
      <w:r>
        <w:rPr>
          <w:rFonts w:hint="eastAsia" w:ascii="仿宋" w:hAnsi="仿宋" w:eastAsia="仿宋"/>
          <w:sz w:val="32"/>
          <w:szCs w:val="32"/>
          <w:lang w:eastAsia="zh-CN"/>
        </w:rPr>
        <w:t>作。</w:t>
      </w:r>
    </w:p>
    <w:p>
      <w:pPr>
        <w:autoSpaceDE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19. 承办市人大常委会</w:t>
      </w:r>
      <w:r>
        <w:rPr>
          <w:rFonts w:hint="eastAsia" w:ascii="仿宋" w:hAnsi="仿宋" w:eastAsia="仿宋"/>
          <w:sz w:val="32"/>
          <w:szCs w:val="32"/>
          <w:lang w:eastAsia="zh-CN"/>
        </w:rPr>
        <w:t>会议</w:t>
      </w:r>
      <w:r>
        <w:rPr>
          <w:rFonts w:hint="eastAsia" w:ascii="仿宋" w:hAnsi="仿宋" w:eastAsia="仿宋"/>
          <w:sz w:val="32"/>
          <w:szCs w:val="32"/>
        </w:rPr>
        <w:t>、常委会党组会议、常委会主任会议和</w:t>
      </w:r>
      <w:r>
        <w:rPr>
          <w:rFonts w:hint="eastAsia" w:ascii="仿宋" w:hAnsi="仿宋" w:eastAsia="仿宋"/>
          <w:sz w:val="32"/>
          <w:szCs w:val="32"/>
          <w:lang w:eastAsia="zh-CN"/>
        </w:rPr>
        <w:t>市人大</w:t>
      </w:r>
      <w:r>
        <w:rPr>
          <w:rFonts w:hint="eastAsia" w:ascii="仿宋" w:hAnsi="仿宋" w:eastAsia="仿宋"/>
          <w:sz w:val="32"/>
          <w:szCs w:val="32"/>
        </w:rPr>
        <w:t>常委会主任、副主任、秘书长、副秘书长交办的有关工作。</w:t>
      </w:r>
    </w:p>
    <w:p>
      <w:pPr>
        <w:pStyle w:val="6"/>
        <w:adjustRightInd w:val="0"/>
        <w:snapToGrid w:val="0"/>
        <w:spacing w:before="93" w:line="600" w:lineRule="exact"/>
        <w:ind w:firstLine="672" w:firstLineChars="210"/>
        <w:outlineLvl w:val="2"/>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（二）20</w:t>
      </w:r>
      <w:r>
        <w:rPr>
          <w:rFonts w:hint="eastAsia" w:ascii="Times New Roman" w:hAnsi="Times New Roman" w:cs="仿宋_GB2312"/>
          <w:kern w:val="2"/>
          <w:sz w:val="32"/>
          <w:szCs w:val="32"/>
          <w:lang w:val="en-US" w:eastAsia="zh-CN" w:bidi="ar-SA"/>
        </w:rPr>
        <w:t>20</w:t>
      </w:r>
      <w:r>
        <w:rPr>
          <w:rFonts w:hint="eastAsia" w:ascii="Times New Roman" w:hAnsi="Times New Roman" w:eastAsia="仿宋_GB2312" w:cs="仿宋_GB2312"/>
          <w:kern w:val="2"/>
          <w:sz w:val="32"/>
          <w:szCs w:val="32"/>
          <w:lang w:val="en-US" w:eastAsia="zh-CN" w:bidi="ar-SA"/>
        </w:rPr>
        <w:t>年重点工作完成情况。</w:t>
      </w:r>
      <w:bookmarkEnd w:id="16"/>
      <w:bookmarkEnd w:id="17"/>
    </w:p>
    <w:p>
      <w:pPr>
        <w:spacing w:line="360" w:lineRule="auto"/>
        <w:ind w:firstLine="640" w:firstLineChars="200"/>
        <w:rPr>
          <w:rFonts w:hint="eastAsia" w:eastAsia="仿宋_GB2312" w:cs="仿宋_GB2312"/>
          <w:sz w:val="32"/>
          <w:szCs w:val="32"/>
          <w:lang w:val="en-US" w:eastAsia="zh-CN"/>
        </w:rPr>
      </w:pPr>
      <w:r>
        <w:rPr>
          <w:rFonts w:hint="eastAsia" w:ascii="仿宋_GB2312" w:hAnsi="宋体" w:eastAsia="仿宋_GB2312" w:cs="宋体"/>
          <w:b w:val="0"/>
          <w:bCs w:val="0"/>
          <w:color w:val="000000"/>
          <w:kern w:val="0"/>
          <w:sz w:val="32"/>
          <w:szCs w:val="32"/>
          <w:highlight w:val="none"/>
          <w:shd w:val="clear" w:color="auto" w:fill="FFFFFF"/>
          <w:lang w:val="en-US" w:eastAsia="zh-CN" w:bidi="ar-SA"/>
        </w:rPr>
        <w:t>1</w:t>
      </w:r>
      <w:r>
        <w:rPr>
          <w:rFonts w:hint="eastAsia" w:ascii="仿宋_GB2312" w:hAnsi="宋体" w:eastAsia="仿宋_GB2312" w:cs="宋体"/>
          <w:b w:val="0"/>
          <w:bCs w:val="0"/>
          <w:color w:val="000000"/>
          <w:kern w:val="0"/>
          <w:sz w:val="32"/>
          <w:szCs w:val="32"/>
          <w:highlight w:val="none"/>
          <w:shd w:val="clear" w:color="auto" w:fill="FFFFFF"/>
          <w:lang w:val="zh-CN" w:eastAsia="zh-CN" w:bidi="ar-SA"/>
        </w:rPr>
        <w:t>.主动作为、积极应对，疫情防控彰显担当。</w:t>
      </w:r>
      <w:r>
        <w:rPr>
          <w:rFonts w:hint="eastAsia" w:eastAsia="仿宋_GB2312" w:cs="仿宋_GB2312"/>
          <w:sz w:val="32"/>
          <w:szCs w:val="32"/>
        </w:rPr>
        <w:t>面对新冠肺炎疫情的严峻挑战，市人大常委会坚决贯彻落实中央、省委和市委关于做好疫情防控的部署要求，迅速组织全市各级人大常委会、人大代表和人大工作者，积极参与疫情防控，以实际行动诠释人大的职责使命和为民情怀。</w:t>
      </w:r>
      <w:r>
        <w:rPr>
          <w:rFonts w:hint="eastAsia"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仿宋_GB2312"/>
          <w:sz w:val="32"/>
          <w:szCs w:val="32"/>
          <w:lang w:val="en-US" w:eastAsia="zh-CN"/>
        </w:rPr>
      </w:pPr>
      <w:r>
        <w:rPr>
          <w:rFonts w:hint="eastAsia" w:eastAsia="仿宋_GB2312" w:cs="仿宋_GB2312"/>
          <w:sz w:val="32"/>
          <w:szCs w:val="32"/>
          <w:lang w:val="en-US" w:eastAsia="zh-CN"/>
        </w:rPr>
        <w:t>2.围绕中心目标，推动重大决策落实。围绕市委决策部署落地，班子成员联系督导9个重点项目与企业，助力联系企业正常生产、项目有序推进。围绕融入成渝地区双城经济圈建设，完成关于推进与成都东部新区协同发展的课题研究。持续开展“脱贫攻坚—人大代表再行动”活动，积极为全面小康献智出力。围绕打赢疫情防控阻击战，发动全市7000余名人大代表深入一线帮助复工复产、协调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仿宋_GB2312"/>
          <w:sz w:val="32"/>
          <w:szCs w:val="32"/>
          <w:lang w:val="en-US" w:eastAsia="zh-CN"/>
        </w:rPr>
      </w:pPr>
      <w:r>
        <w:rPr>
          <w:rFonts w:hint="eastAsia" w:eastAsia="仿宋_GB2312" w:cs="仿宋_GB2312"/>
          <w:sz w:val="32"/>
          <w:szCs w:val="32"/>
          <w:lang w:val="en-US" w:eastAsia="zh-CN"/>
        </w:rPr>
        <w:t>3.依法履职行权，持续提升工作质效。完成《遂宁市文明行为促进条例》立法任务，启动海绵城市建设与管理立法前期工作。审查批准市级预算调整方案和政府债务限额等议案，听取和审议融入成渝地区双城经济圈建设、生猪产业发展、文旅融合发展、公共卫生防疫体系建设、违法建设治理、法治化营商环境建设等报告，着力助推高质量发展、民生改善；开展《四川省禁毒条例》执法检查，配合国、省人大开展野生动物保护“两法”“两决定”等执法检查。依法作出同意大英撤县设区等决议决定27项、任免国家机关工作人员54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仿宋_GB2312"/>
          <w:sz w:val="32"/>
          <w:szCs w:val="32"/>
          <w:lang w:val="en-US" w:eastAsia="zh-CN"/>
        </w:rPr>
      </w:pPr>
      <w:r>
        <w:rPr>
          <w:rFonts w:hint="eastAsia" w:eastAsia="仿宋_GB2312" w:cs="仿宋_GB2312"/>
          <w:sz w:val="32"/>
          <w:szCs w:val="32"/>
          <w:lang w:val="en-US" w:eastAsia="zh-CN"/>
        </w:rPr>
        <w:t>4.发挥代表职能，扎实推进监督工作。建立人大代表联系村（社区）制度，推动代表工作向基层延伸；持续组织开展市人大代表监督营商环境和民生工作专项监督活动，牵头督办“完善全市重大疫情防控体系”等重点建议10项。大力探索专业代表小组履职实践，推进民生实事项目人大代表票决制试点，促使代表主体作用更好发挥。督促办理代表意见建议155件，“满意”“基本满意”率达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仿宋_GB2312"/>
          <w:sz w:val="32"/>
          <w:szCs w:val="32"/>
          <w:lang w:val="en-US" w:eastAsia="zh-CN"/>
        </w:rPr>
      </w:pPr>
      <w:r>
        <w:rPr>
          <w:rFonts w:hint="eastAsia" w:eastAsia="仿宋_GB2312" w:cs="仿宋_GB2312"/>
          <w:sz w:val="32"/>
          <w:szCs w:val="32"/>
          <w:lang w:val="en-US" w:eastAsia="zh-CN"/>
        </w:rPr>
        <w:t>5.坚持从严管理，切实加强自身建设。优化专门委员会设置，依法将市人大财经委更名为市人大经济委，增设市人大预算委。坚决执行中央八项规定和省、市十项规定及实施细则，认真落实“三重一大”和民主集中制，完善优化常委会机关内部运行机制和管理措施。认真落实“营商环境优化提升年”部署，工作效能不断提高。</w:t>
      </w:r>
    </w:p>
    <w:p>
      <w:pPr>
        <w:spacing w:line="560" w:lineRule="exact"/>
        <w:ind w:firstLine="640" w:firstLineChars="200"/>
        <w:rPr>
          <w:rFonts w:hint="eastAsia" w:ascii="Times New Roman" w:hAnsi="Times New Roman" w:eastAsia="仿宋_GB2312" w:cs="仿宋_GB2312"/>
          <w:b w:val="0"/>
          <w:bCs w:val="0"/>
          <w:kern w:val="2"/>
          <w:sz w:val="32"/>
          <w:szCs w:val="32"/>
          <w:lang w:val="en-US" w:eastAsia="zh-CN" w:bidi="ar-SA"/>
        </w:rPr>
      </w:pPr>
      <w:bookmarkStart w:id="18" w:name="_Toc15396601"/>
      <w:bookmarkStart w:id="19" w:name="_Toc15377200"/>
      <w:r>
        <w:rPr>
          <w:rFonts w:hint="eastAsia" w:ascii="仿宋_GB2312" w:hAnsi="宋体" w:eastAsia="仿宋_GB2312" w:cs="宋体"/>
          <w:b w:val="0"/>
          <w:bCs w:val="0"/>
          <w:color w:val="000000"/>
          <w:kern w:val="0"/>
          <w:sz w:val="32"/>
          <w:szCs w:val="32"/>
          <w:highlight w:val="none"/>
          <w:shd w:val="clear" w:color="auto" w:fill="FFFFFF"/>
          <w:lang w:val="en-US" w:eastAsia="zh-CN" w:bidi="ar-SA"/>
        </w:rPr>
        <w:t xml:space="preserve"> </w:t>
      </w:r>
      <w:r>
        <w:rPr>
          <w:rFonts w:hint="eastAsia" w:ascii="Times New Roman" w:hAnsi="Times New Roman" w:eastAsia="仿宋_GB2312" w:cs="仿宋_GB2312"/>
          <w:b w:val="0"/>
          <w:bCs w:val="0"/>
          <w:kern w:val="2"/>
          <w:sz w:val="32"/>
          <w:szCs w:val="32"/>
          <w:lang w:val="en-US" w:eastAsia="zh-CN" w:bidi="ar-SA"/>
        </w:rPr>
        <w:t>二、机构设置</w:t>
      </w:r>
      <w:bookmarkEnd w:id="18"/>
      <w:bookmarkEnd w:id="19"/>
    </w:p>
    <w:p>
      <w:pPr>
        <w:spacing w:line="560" w:lineRule="exact"/>
        <w:ind w:firstLine="640" w:firstLineChars="200"/>
        <w:rPr>
          <w:rFonts w:hint="eastAsia" w:eastAsia="仿宋_GB2312" w:cs="仿宋_GB2312"/>
          <w:sz w:val="32"/>
          <w:szCs w:val="32"/>
        </w:rPr>
      </w:pPr>
      <w:r>
        <w:rPr>
          <w:rFonts w:hint="eastAsia" w:eastAsia="仿宋_GB2312" w:cs="仿宋_GB2312"/>
          <w:sz w:val="32"/>
          <w:szCs w:val="32"/>
          <w:lang w:val="en-US" w:eastAsia="zh-CN"/>
        </w:rPr>
        <w:t>遂宁市</w:t>
      </w:r>
      <w:r>
        <w:rPr>
          <w:rFonts w:hint="eastAsia" w:eastAsia="仿宋_GB2312" w:cs="仿宋_GB2312"/>
          <w:sz w:val="32"/>
          <w:szCs w:val="32"/>
        </w:rPr>
        <w:t>人大常委会办公室下属二级</w:t>
      </w:r>
      <w:r>
        <w:rPr>
          <w:rFonts w:hint="eastAsia" w:eastAsia="仿宋_GB2312" w:cs="仿宋_GB2312"/>
          <w:sz w:val="32"/>
          <w:szCs w:val="32"/>
          <w:lang w:eastAsia="zh-CN"/>
        </w:rPr>
        <w:t>预算</w:t>
      </w:r>
      <w:r>
        <w:rPr>
          <w:rFonts w:hint="eastAsia" w:eastAsia="仿宋_GB2312" w:cs="仿宋_GB2312"/>
          <w:sz w:val="32"/>
          <w:szCs w:val="32"/>
        </w:rPr>
        <w:t>单位0个，其中行政单位0个，参照公务员法管理的事业单位0个，其他事业单位0个。</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rPr>
          <w:rStyle w:val="26"/>
          <w:rFonts w:ascii="黑体" w:hAnsi="黑体" w:eastAsia="黑体"/>
          <w:b w:val="0"/>
          <w:bCs w:val="0"/>
        </w:rPr>
      </w:pPr>
      <w:bookmarkStart w:id="20" w:name="_Toc15377204"/>
      <w:bookmarkStart w:id="21" w:name="_Toc15396602"/>
      <w:r>
        <w:rPr>
          <w:rFonts w:hint="eastAsia" w:ascii="黑体" w:hAnsi="黑体" w:eastAsia="黑体"/>
          <w:b w:val="0"/>
          <w:color w:val="000000"/>
        </w:rPr>
        <w:t>第二部分</w:t>
      </w:r>
      <w:r>
        <w:rPr>
          <w:rStyle w:val="26"/>
          <w:rFonts w:hint="eastAsia" w:ascii="黑体" w:hAnsi="黑体" w:eastAsia="黑体"/>
          <w:b w:val="0"/>
          <w:bCs w:val="0"/>
        </w:rPr>
        <w:t>2020年度部门决算情况说明</w:t>
      </w:r>
      <w:bookmarkEnd w:id="20"/>
      <w:bookmarkEnd w:id="21"/>
    </w:p>
    <w:p/>
    <w:p>
      <w:pPr>
        <w:pStyle w:val="25"/>
        <w:numPr>
          <w:ilvl w:val="0"/>
          <w:numId w:val="1"/>
        </w:numPr>
        <w:spacing w:line="600" w:lineRule="exact"/>
        <w:ind w:firstLineChars="0"/>
        <w:outlineLvl w:val="1"/>
        <w:rPr>
          <w:rStyle w:val="27"/>
          <w:rFonts w:ascii="黑体" w:hAnsi="黑体" w:eastAsia="黑体"/>
          <w:b w:val="0"/>
        </w:rPr>
      </w:pPr>
      <w:bookmarkStart w:id="22" w:name="_Toc15377205"/>
      <w:bookmarkStart w:id="23" w:name="_Toc1539660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2"/>
      <w:bookmarkEnd w:id="23"/>
    </w:p>
    <w:p>
      <w:pPr>
        <w:spacing w:line="600" w:lineRule="exact"/>
        <w:ind w:firstLine="640" w:firstLineChars="200"/>
        <w:rPr>
          <w:rFonts w:ascii="仿宋_GB2312" w:hAnsi="仿宋" w:eastAsia="仿宋_GB2312"/>
          <w:sz w:val="32"/>
          <w:szCs w:val="32"/>
        </w:rPr>
      </w:pPr>
      <w:r>
        <w:rPr>
          <w:rFonts w:hint="eastAsia" w:ascii="仿宋" w:eastAsia="仿宋"/>
          <w:color w:val="000000"/>
          <w:sz w:val="32"/>
          <w:szCs w:val="32"/>
        </w:rPr>
        <w:t>2020年度收、支决算总计3746.28万元。与2019年3540.72万元相比，收、支总计增加205.56万元，增长5.81%。主要增长原因是本年度追加公车购置经费及</w:t>
      </w:r>
      <w:r>
        <w:rPr>
          <w:rFonts w:hint="eastAsia" w:ascii="仿宋_GB2312" w:hAnsi="仿宋" w:eastAsia="仿宋_GB2312" w:cs="仿宋"/>
          <w:sz w:val="32"/>
          <w:szCs w:val="32"/>
        </w:rPr>
        <w:t>漆长兴、刘瑛、唐超全同志病故抚恤金</w:t>
      </w:r>
      <w:r>
        <w:rPr>
          <w:rFonts w:hint="eastAsia" w:ascii="仿宋" w:eastAsia="仿宋"/>
          <w:color w:val="000000"/>
          <w:sz w:val="32"/>
          <w:szCs w:val="32"/>
        </w:rPr>
        <w:t>。</w:t>
      </w:r>
    </w:p>
    <w:p>
      <w:pPr>
        <w:snapToGrid w:val="0"/>
        <w:spacing w:line="520" w:lineRule="exact"/>
        <w:ind w:firstLine="640" w:firstLineChars="200"/>
        <w:rPr>
          <w:rFonts w:ascii="仿宋_GB2312" w:hAnsi="仿宋" w:eastAsia="仿宋_GB2312"/>
          <w:sz w:val="32"/>
          <w:szCs w:val="32"/>
        </w:rPr>
      </w:pPr>
      <w:r>
        <w:rPr>
          <w:rFonts w:ascii="仿宋_GB2312" w:eastAsia="仿宋_GB2312"/>
          <w:color w:val="000000"/>
          <w:sz w:val="32"/>
          <w:szCs w:val="32"/>
        </w:rPr>
        <w:pict>
          <v:shape id="对象 9" o:spid="_x0000_s1039" o:spt="75" type="#_x0000_t75" style="position:absolute;left:0pt;margin-left:44.15pt;margin-top:13.1pt;height:149.9pt;width:449.2pt;z-index:251665408;mso-width-relative:page;mso-height-relative:page;" o:ole="t" filled="f" o:preferrelative="t" stroked="f" coordsize="21600,21600">
            <v:path/>
            <v:fill on="f" focussize="0,0"/>
            <v:stroke on="f" joinstyle="miter"/>
            <v:imagedata r:id="rId7" o:title=""/>
            <o:lock v:ext="edit" aspectratio="t"/>
          </v:shape>
          <o:OLEObject Type="Embed" ProgID="Excel.Sheet.12" ShapeID="对象 9" DrawAspect="Content" ObjectID="_1468075725" r:id="rId6">
            <o:LockedField>false</o:LockedField>
          </o:OLEObject>
        </w:pict>
      </w:r>
    </w:p>
    <w:p>
      <w:pPr>
        <w:snapToGrid w:val="0"/>
        <w:spacing w:line="520" w:lineRule="exact"/>
        <w:ind w:firstLine="640" w:firstLineChars="200"/>
        <w:rPr>
          <w:rFonts w:ascii="仿宋_GB2312" w:hAnsi="仿宋" w:eastAsia="仿宋_GB2312"/>
          <w:sz w:val="32"/>
          <w:szCs w:val="32"/>
        </w:rPr>
      </w:pPr>
    </w:p>
    <w:p>
      <w:pPr>
        <w:snapToGrid w:val="0"/>
        <w:spacing w:line="520" w:lineRule="exact"/>
        <w:ind w:firstLine="640" w:firstLineChars="200"/>
        <w:rPr>
          <w:rFonts w:ascii="仿宋_GB2312" w:hAnsi="仿宋" w:eastAsia="仿宋_GB2312"/>
          <w:sz w:val="32"/>
          <w:szCs w:val="32"/>
        </w:rPr>
      </w:pPr>
    </w:p>
    <w:p>
      <w:pPr>
        <w:snapToGrid w:val="0"/>
        <w:spacing w:line="520" w:lineRule="exact"/>
        <w:ind w:firstLine="640" w:firstLineChars="200"/>
        <w:rPr>
          <w:rFonts w:ascii="仿宋_GB2312" w:hAnsi="仿宋" w:eastAsia="仿宋_GB2312"/>
          <w:sz w:val="32"/>
          <w:szCs w:val="32"/>
        </w:rPr>
      </w:pPr>
    </w:p>
    <w:p>
      <w:pPr>
        <w:snapToGrid w:val="0"/>
        <w:spacing w:line="520" w:lineRule="exact"/>
        <w:ind w:firstLine="640" w:firstLineChars="200"/>
        <w:rPr>
          <w:rFonts w:ascii="仿宋_GB2312" w:hAnsi="仿宋" w:eastAsia="仿宋_GB2312"/>
          <w:sz w:val="32"/>
          <w:szCs w:val="32"/>
        </w:rPr>
      </w:pP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pStyle w:val="25"/>
        <w:numPr>
          <w:ilvl w:val="0"/>
          <w:numId w:val="1"/>
        </w:numPr>
        <w:spacing w:line="600" w:lineRule="exact"/>
        <w:ind w:firstLineChars="0"/>
        <w:outlineLvl w:val="1"/>
        <w:rPr>
          <w:rStyle w:val="27"/>
          <w:rFonts w:ascii="黑体" w:hAnsi="黑体" w:eastAsia="黑体"/>
          <w:b w:val="0"/>
        </w:rPr>
      </w:pPr>
      <w:bookmarkStart w:id="24" w:name="_Toc15377206"/>
      <w:bookmarkStart w:id="25" w:name="_Toc15396604"/>
      <w:r>
        <w:rPr>
          <w:rFonts w:hint="eastAsia" w:ascii="黑体" w:hAnsi="黑体" w:eastAsia="黑体"/>
          <w:color w:val="000000"/>
          <w:sz w:val="32"/>
          <w:szCs w:val="32"/>
        </w:rPr>
        <w:t>收</w:t>
      </w:r>
      <w:r>
        <w:rPr>
          <w:rStyle w:val="27"/>
          <w:rFonts w:hint="eastAsia" w:ascii="黑体" w:hAnsi="黑体" w:eastAsia="黑体"/>
          <w:b w:val="0"/>
        </w:rPr>
        <w:t>入决算情况说明</w:t>
      </w:r>
      <w:bookmarkEnd w:id="24"/>
      <w:bookmarkEnd w:id="25"/>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t>2020</w:t>
      </w:r>
      <w:r>
        <w:rPr>
          <w:rFonts w:hint="eastAsia" w:ascii="仿宋_GB2312" w:hAnsi="仿宋" w:eastAsia="仿宋_GB2312" w:cs="仿宋"/>
          <w:sz w:val="32"/>
          <w:szCs w:val="32"/>
        </w:rPr>
        <w:t>年收入1833.95万元。其中2020年财政拨款收入1833.95万元,</w:t>
      </w:r>
      <w:r>
        <w:rPr>
          <w:rFonts w:hint="eastAsia" w:ascii="仿宋" w:hAnsi="仿宋" w:eastAsia="仿宋"/>
          <w:color w:val="000000"/>
          <w:sz w:val="32"/>
          <w:szCs w:val="32"/>
        </w:rPr>
        <w:t>占100</w:t>
      </w:r>
      <w:r>
        <w:rPr>
          <w:rFonts w:ascii="仿宋" w:hAnsi="仿宋" w:eastAsia="仿宋"/>
          <w:color w:val="000000"/>
          <w:sz w:val="32"/>
          <w:szCs w:val="32"/>
        </w:rPr>
        <w:t>%</w:t>
      </w:r>
      <w:r>
        <w:rPr>
          <w:rFonts w:hint="eastAsia" w:ascii="仿宋_GB2312" w:hAnsi="仿宋" w:eastAsia="仿宋_GB2312" w:cs="仿宋"/>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_GB2312" w:hAnsi="仿宋" w:eastAsia="仿宋_GB2312" w:cs="仿宋"/>
          <w:sz w:val="32"/>
          <w:szCs w:val="32"/>
        </w:rPr>
        <w:t>其他收入10万元,</w:t>
      </w:r>
      <w:r>
        <w:rPr>
          <w:rFonts w:hint="eastAsia" w:ascii="仿宋" w:hAnsi="仿宋" w:eastAsia="仿宋"/>
          <w:color w:val="000000"/>
          <w:sz w:val="32"/>
          <w:szCs w:val="32"/>
        </w:rPr>
        <w:t>占0.57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_GB2312" w:hAnsi="仿宋" w:eastAsia="仿宋_GB2312"/>
          <w:sz w:val="32"/>
          <w:szCs w:val="32"/>
        </w:rPr>
        <w:pict>
          <v:shape id="_x0000_s1036" o:spid="_x0000_s1036" o:spt="75" type="#_x0000_t75" style="position:absolute;left:0pt;margin-left:17.25pt;margin-top:-19.6pt;height:137.15pt;width:350.3pt;z-index:251662336;mso-width-relative:page;mso-height-relative:page;" o:ole="t" filled="f" o:preferrelative="t" stroked="f" coordsize="21600,21600">
            <v:path/>
            <v:fill on="f" focussize="0,0"/>
            <v:stroke on="f" joinstyle="miter"/>
            <v:imagedata r:id="rId9" o:title=""/>
            <o:lock v:ext="edit" aspectratio="t"/>
          </v:shape>
          <o:OLEObject Type="Embed" ProgID="Excel.Sheet.12" ShapeID="_x0000_s1036" DrawAspect="Content" ObjectID="_1468075726" r:id="rId8">
            <o:LockedField>false</o:LockedField>
          </o:OLEObject>
        </w:pic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pStyle w:val="25"/>
        <w:numPr>
          <w:ilvl w:val="0"/>
          <w:numId w:val="1"/>
        </w:numPr>
        <w:spacing w:line="600" w:lineRule="exact"/>
        <w:ind w:firstLineChars="0"/>
        <w:outlineLvl w:val="1"/>
        <w:rPr>
          <w:rStyle w:val="27"/>
          <w:rFonts w:ascii="黑体" w:hAnsi="黑体" w:eastAsia="黑体"/>
          <w:b w:val="0"/>
        </w:rPr>
      </w:pPr>
      <w:bookmarkStart w:id="26" w:name="_Toc15377207"/>
      <w:bookmarkStart w:id="27" w:name="_Toc15396605"/>
      <w:r>
        <w:rPr>
          <w:rFonts w:hint="eastAsia" w:ascii="黑体" w:hAnsi="黑体" w:eastAsia="黑体"/>
          <w:color w:val="000000"/>
          <w:sz w:val="32"/>
          <w:szCs w:val="32"/>
        </w:rPr>
        <w:t>支</w:t>
      </w:r>
      <w:r>
        <w:rPr>
          <w:rStyle w:val="27"/>
          <w:rFonts w:hint="eastAsia" w:ascii="黑体" w:hAnsi="黑体" w:eastAsia="黑体"/>
          <w:b w:val="0"/>
        </w:rPr>
        <w:t>出决算情况说明</w:t>
      </w:r>
      <w:bookmarkEnd w:id="26"/>
      <w:bookmarkEnd w:id="27"/>
    </w:p>
    <w:p>
      <w:pPr>
        <w:spacing w:line="600" w:lineRule="exact"/>
        <w:ind w:firstLine="640" w:firstLineChars="200"/>
        <w:outlineLvl w:val="1"/>
        <w:rPr>
          <w:rFonts w:ascii="仿宋_GB2312" w:hAnsi="仿宋" w:eastAsia="仿宋_GB2312"/>
          <w:sz w:val="32"/>
          <w:szCs w:val="32"/>
        </w:rPr>
      </w:pPr>
      <w:r>
        <w:rPr>
          <w:rFonts w:hint="eastAsia" w:ascii="仿宋_GB2312" w:hAnsi="仿宋" w:eastAsia="仿宋_GB2312" w:cs="仿宋"/>
          <w:sz w:val="32"/>
          <w:szCs w:val="32"/>
        </w:rPr>
        <w:t>2020年支出1865.07万元，</w:t>
      </w:r>
      <w:r>
        <w:rPr>
          <w:rFonts w:hint="eastAsia" w:ascii="仿宋" w:hAnsi="仿宋" w:eastAsia="仿宋"/>
          <w:color w:val="000000"/>
          <w:sz w:val="32"/>
          <w:szCs w:val="32"/>
        </w:rPr>
        <w:t>项目支出394.35万元，占21.14</w:t>
      </w:r>
      <w:r>
        <w:rPr>
          <w:rFonts w:ascii="仿宋" w:hAnsi="仿宋" w:eastAsia="仿宋"/>
          <w:color w:val="000000"/>
          <w:sz w:val="32"/>
          <w:szCs w:val="32"/>
        </w:rPr>
        <w:t>%</w:t>
      </w:r>
      <w:r>
        <w:rPr>
          <w:rFonts w:hint="eastAsia" w:ascii="仿宋" w:hAnsi="仿宋" w:eastAsia="仿宋"/>
          <w:color w:val="000000"/>
          <w:sz w:val="32"/>
          <w:szCs w:val="32"/>
        </w:rPr>
        <w:t>；基本支出1470.72万元，占78.86%；上缴上级支出0万元，占0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_GB2312" w:hAnsi="仿宋" w:eastAsia="仿宋_GB2312"/>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_GB2312" w:hAnsi="仿宋" w:eastAsia="仿宋_GB2312"/>
          <w:sz w:val="32"/>
          <w:szCs w:val="32"/>
        </w:rPr>
        <w:pict>
          <v:shape id="_x0000_s1037" o:spid="_x0000_s1037" o:spt="75" type="#_x0000_t75" style="position:absolute;left:0pt;margin-left:16.85pt;margin-top:10.1pt;height:137.15pt;width:350.3pt;z-index:251663360;mso-width-relative:page;mso-height-relative:page;" o:ole="t" filled="f" o:preferrelative="t" stroked="f" coordsize="21600,21600">
            <v:path/>
            <v:fill on="f" focussize="0,0"/>
            <v:stroke on="f" joinstyle="miter"/>
            <v:imagedata r:id="rId11" o:title=""/>
            <o:lock v:ext="edit" aspectratio="t"/>
          </v:shape>
          <o:OLEObject Type="Embed" ProgID="Excel.Sheet.12" ShapeID="_x0000_s1037" DrawAspect="Content" ObjectID="_1468075727" r:id="rId10">
            <o:LockedField>false</o:LockedField>
          </o:OLEObject>
        </w:pic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outlineLvl w:val="1"/>
        <w:rPr>
          <w:rStyle w:val="27"/>
          <w:rFonts w:ascii="黑体" w:hAnsi="黑体" w:eastAsia="黑体"/>
          <w:b w:val="0"/>
        </w:rPr>
      </w:pPr>
      <w:bookmarkStart w:id="28" w:name="_Toc15377208"/>
      <w:bookmarkStart w:id="29" w:name="_Toc15396606"/>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28"/>
      <w:bookmarkEnd w:id="29"/>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2020年财政拨款收、支总计3726.30万元，与</w:t>
      </w:r>
      <w:r>
        <w:rPr>
          <w:rFonts w:ascii="仿宋" w:hAnsi="仿宋" w:eastAsia="仿宋"/>
          <w:color w:val="000000"/>
          <w:sz w:val="32"/>
          <w:szCs w:val="32"/>
        </w:rPr>
        <w:t>2019</w:t>
      </w:r>
      <w:r>
        <w:rPr>
          <w:rFonts w:hint="eastAsia" w:ascii="仿宋" w:hAnsi="仿宋" w:eastAsia="仿宋"/>
          <w:color w:val="000000"/>
          <w:sz w:val="32"/>
          <w:szCs w:val="32"/>
        </w:rPr>
        <w:t>年3520.72万元相比，财政拨款收、支总计增加205.58万元，增长5.84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eastAsia="仿宋"/>
          <w:color w:val="000000"/>
          <w:sz w:val="32"/>
          <w:szCs w:val="32"/>
        </w:rPr>
        <w:t>主要增长原因是本年度追加公车购置经费及</w:t>
      </w:r>
      <w:r>
        <w:rPr>
          <w:rFonts w:hint="eastAsia" w:ascii="仿宋_GB2312" w:hAnsi="仿宋" w:eastAsia="仿宋_GB2312" w:cs="仿宋"/>
          <w:sz w:val="32"/>
          <w:szCs w:val="32"/>
        </w:rPr>
        <w:t>漆长兴、刘瑛、唐超全同志病故抚恤金</w:t>
      </w:r>
      <w:r>
        <w:rPr>
          <w:rFonts w:hint="eastAsia" w:ascii="仿宋" w:eastAsia="仿宋"/>
          <w:color w:val="000000"/>
          <w:sz w:val="32"/>
          <w:szCs w:val="32"/>
        </w:rPr>
        <w:t>。</w:t>
      </w:r>
    </w:p>
    <w:p>
      <w:pPr>
        <w:spacing w:line="600" w:lineRule="exact"/>
        <w:ind w:firstLine="640"/>
        <w:rPr>
          <w:rFonts w:ascii="仿宋_GB2312" w:hAnsi="仿宋" w:eastAsia="仿宋_GB2312"/>
          <w:sz w:val="32"/>
          <w:szCs w:val="32"/>
        </w:rPr>
      </w:pPr>
    </w:p>
    <w:p>
      <w:pPr>
        <w:spacing w:line="600" w:lineRule="exact"/>
        <w:ind w:firstLine="640"/>
        <w:rPr>
          <w:rFonts w:ascii="仿宋_GB2312" w:hAnsi="仿宋" w:eastAsia="仿宋_GB2312"/>
          <w:sz w:val="32"/>
          <w:szCs w:val="32"/>
        </w:rPr>
      </w:pPr>
      <w:r>
        <w:rPr>
          <w:rFonts w:ascii="仿宋_GB2312" w:hAnsi="仿宋" w:eastAsia="仿宋_GB2312"/>
          <w:sz w:val="32"/>
          <w:szCs w:val="32"/>
        </w:rPr>
        <w:pict>
          <v:shape id="_x0000_s1031" o:spid="_x0000_s1031" o:spt="75" type="#_x0000_t75" style="position:absolute;left:0pt;margin-left:-5.95pt;margin-top:4pt;height:149.9pt;width:449.2pt;z-index:251659264;mso-width-relative:page;mso-height-relative:page;" o:ole="t" filled="f" o:preferrelative="t" stroked="f" coordsize="21600,21600">
            <v:path/>
            <v:fill on="f" focussize="0,0"/>
            <v:stroke on="f" joinstyle="miter"/>
            <v:imagedata r:id="rId13" o:title=""/>
            <o:lock v:ext="edit" aspectratio="t"/>
          </v:shape>
          <o:OLEObject Type="Embed" ProgID="Excel.Sheet.12" ShapeID="_x0000_s1031" DrawAspect="Content" ObjectID="_1468075728" r:id="rId12">
            <o:LockedField>false</o:LockedField>
          </o:OLEObject>
        </w:pict>
      </w:r>
    </w:p>
    <w:p>
      <w:pPr>
        <w:spacing w:line="600" w:lineRule="exact"/>
        <w:ind w:firstLine="640"/>
        <w:rPr>
          <w:rFonts w:ascii="仿宋_GB2312" w:hAnsi="仿宋" w:eastAsia="仿宋_GB2312"/>
          <w:sz w:val="32"/>
          <w:szCs w:val="32"/>
        </w:rPr>
      </w:pPr>
    </w:p>
    <w:p>
      <w:pPr>
        <w:spacing w:line="600" w:lineRule="exact"/>
        <w:ind w:firstLine="640"/>
        <w:rPr>
          <w:rFonts w:ascii="仿宋_GB2312" w:hAnsi="仿宋" w:eastAsia="仿宋_GB2312"/>
          <w:sz w:val="32"/>
          <w:szCs w:val="32"/>
        </w:rPr>
      </w:pP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firstLineChars="200"/>
        <w:outlineLvl w:val="1"/>
        <w:rPr>
          <w:rStyle w:val="27"/>
          <w:rFonts w:ascii="黑体" w:hAnsi="黑体" w:eastAsia="黑体"/>
          <w:b w:val="0"/>
        </w:rPr>
      </w:pPr>
      <w:bookmarkStart w:id="30" w:name="_Toc15396607"/>
      <w:bookmarkStart w:id="31"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0"/>
      <w:bookmarkEnd w:id="31"/>
    </w:p>
    <w:p>
      <w:pPr>
        <w:spacing w:line="600" w:lineRule="exact"/>
        <w:ind w:firstLine="643" w:firstLineChars="200"/>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（一）一般公共预算财政拨款支出决算总体情况</w:t>
      </w:r>
      <w:bookmarkEnd w:id="32"/>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2020年一般公共预算财政拨款支出1863.15万元，占本年支出合计的99.90</w:t>
      </w:r>
      <w:r>
        <w:rPr>
          <w:rFonts w:ascii="仿宋" w:hAnsi="仿宋" w:eastAsia="仿宋"/>
          <w:color w:val="000000"/>
          <w:sz w:val="32"/>
          <w:szCs w:val="32"/>
        </w:rPr>
        <w:t>%</w:t>
      </w:r>
      <w:r>
        <w:rPr>
          <w:rFonts w:hint="eastAsia" w:ascii="仿宋" w:hAnsi="仿宋" w:eastAsia="仿宋"/>
          <w:color w:val="000000"/>
          <w:sz w:val="32"/>
          <w:szCs w:val="32"/>
        </w:rPr>
        <w:t>。与2019年1728.92万元相比，增加134.23万元，增长7.76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eastAsia="仿宋"/>
          <w:color w:val="000000"/>
          <w:sz w:val="32"/>
          <w:szCs w:val="32"/>
        </w:rPr>
        <w:t>主要增长原因是本年度追加公车购置经费及</w:t>
      </w:r>
      <w:r>
        <w:rPr>
          <w:rFonts w:hint="eastAsia" w:ascii="仿宋_GB2312" w:hAnsi="仿宋" w:eastAsia="仿宋_GB2312" w:cs="仿宋"/>
          <w:sz w:val="32"/>
          <w:szCs w:val="32"/>
        </w:rPr>
        <w:t>漆长兴、刘瑛、唐超全同志病故抚恤金</w:t>
      </w:r>
      <w:r>
        <w:rPr>
          <w:rFonts w:hint="eastAsia" w:ascii="仿宋" w:eastAsia="仿宋"/>
          <w:color w:val="000000"/>
          <w:sz w:val="32"/>
          <w:szCs w:val="32"/>
        </w:rPr>
        <w:t>。</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ascii="仿宋_GB2312" w:hAnsi="仿宋" w:eastAsia="仿宋_GB2312"/>
          <w:sz w:val="32"/>
          <w:szCs w:val="32"/>
        </w:rPr>
        <w:pict>
          <v:shape id="_x0000_s1032" o:spid="_x0000_s1032" o:spt="75" type="#_x0000_t75" style="position:absolute;left:0pt;margin-left:-13.45pt;margin-top:20.25pt;height:149.9pt;width:449.2pt;z-index:251660288;mso-width-relative:page;mso-height-relative:page;" o:ole="t" filled="f" o:preferrelative="t" stroked="f" coordsize="21600,21600">
            <v:path/>
            <v:fill on="f" focussize="0,0"/>
            <v:stroke on="f" joinstyle="miter"/>
            <v:imagedata r:id="rId15" o:title=""/>
            <o:lock v:ext="edit" aspectratio="t"/>
          </v:shape>
          <o:OLEObject Type="Embed" ProgID="Excel.Sheet.12" ShapeID="_x0000_s1032" DrawAspect="Content" ObjectID="_1468075729" r:id="rId14">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3" w:name="_Toc15377211"/>
      <w:r>
        <w:rPr>
          <w:rFonts w:hint="eastAsia" w:ascii="仿宋" w:hAnsi="仿宋" w:eastAsia="仿宋"/>
          <w:b/>
          <w:color w:val="000000"/>
          <w:sz w:val="32"/>
          <w:szCs w:val="32"/>
        </w:rPr>
        <w:t>（二）一般公共预算财政拨款支出决算结构情况</w:t>
      </w:r>
      <w:bookmarkEnd w:id="33"/>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2020</w:t>
      </w:r>
      <w:r>
        <w:rPr>
          <w:rFonts w:hint="eastAsia" w:ascii="仿宋" w:hAnsi="仿宋" w:eastAsia="仿宋"/>
          <w:color w:val="000000" w:themeColor="text1"/>
          <w:sz w:val="32"/>
          <w:szCs w:val="32"/>
          <w14:textFill>
            <w14:solidFill>
              <w14:schemeClr w14:val="tx1"/>
            </w14:solidFill>
          </w14:textFill>
        </w:rPr>
        <w:t>年一般公共预算财政拨款支出1863.15万元，主要用于以下方面:一般公共服务（类）支出1480.40万元，占79.46%；社会保障和就业（类）支出242.64万元，占13.02%；卫生健康支出42.05万元，占2.26%；住房保障支出98.06万元，占5.26%。</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（罗列全部功能分类科目，至类级。）</w:t>
      </w:r>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_GB2312" w:hAnsi="仿宋" w:eastAsia="仿宋_GB2312"/>
          <w:sz w:val="24"/>
        </w:rPr>
        <w:pict>
          <v:shape id="_x0000_s1038" o:spid="_x0000_s1038" o:spt="75" type="#_x0000_t75" style="position:absolute;left:0pt;margin-left:11.1pt;margin-top:11.05pt;height:136.35pt;width:349.6pt;z-index:251664384;mso-width-relative:page;mso-height-relative:page;" o:ole="t" filled="f" o:preferrelative="t" stroked="f" coordsize="21600,21600">
            <v:path/>
            <v:fill on="f" focussize="0,0"/>
            <v:stroke on="f" joinstyle="miter"/>
            <v:imagedata r:id="rId17" o:title=""/>
            <o:lock v:ext="edit" aspectratio="t"/>
          </v:shape>
          <o:OLEObject Type="Embed" ProgID="Excel.Sheet.12" ShapeID="_x0000_s1038" DrawAspect="Content" ObjectID="_1468075730" r:id="rId16">
            <o:LockedField>false</o:LockedField>
          </o:OLEObject>
        </w:pict>
      </w: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4" w:name="_Toc15377212"/>
      <w:r>
        <w:rPr>
          <w:rFonts w:hint="eastAsia" w:ascii="仿宋" w:hAnsi="仿宋" w:eastAsia="仿宋"/>
          <w:b/>
          <w:color w:val="000000"/>
          <w:sz w:val="32"/>
          <w:szCs w:val="32"/>
        </w:rPr>
        <w:t>（三）一般公共预算财政拨款支出决算具体情况</w:t>
      </w:r>
      <w:bookmarkEnd w:id="34"/>
    </w:p>
    <w:p>
      <w:pPr>
        <w:spacing w:line="600" w:lineRule="exact"/>
        <w:ind w:firstLine="640" w:firstLineChars="200"/>
        <w:rPr>
          <w:rStyle w:val="16"/>
          <w:rFonts w:ascii="仿宋" w:hAnsi="仿宋" w:eastAsia="仿宋"/>
          <w:b w:val="0"/>
          <w:bCs/>
          <w:color w:val="000000"/>
          <w:sz w:val="32"/>
          <w:szCs w:val="32"/>
        </w:rPr>
      </w:pPr>
      <w:bookmarkStart w:id="35" w:name="_Toc15377444"/>
      <w:bookmarkStart w:id="36" w:name="_Toc15377213"/>
      <w:bookmarkStart w:id="37" w:name="_Toc15378460"/>
      <w:r>
        <w:rPr>
          <w:rStyle w:val="16"/>
          <w:rFonts w:hint="eastAsia" w:ascii="仿宋" w:hAnsi="仿宋" w:eastAsia="仿宋"/>
          <w:b w:val="0"/>
          <w:bCs/>
          <w:color w:val="000000"/>
          <w:sz w:val="32"/>
          <w:szCs w:val="32"/>
        </w:rPr>
        <w:t>2020年一般公共预算支出决算数为1863.15万元，完成预算100%。其中：</w:t>
      </w:r>
      <w:bookmarkEnd w:id="35"/>
      <w:bookmarkEnd w:id="36"/>
      <w:bookmarkEnd w:id="37"/>
    </w:p>
    <w:p>
      <w:pPr>
        <w:spacing w:line="600" w:lineRule="exact"/>
        <w:ind w:firstLine="640" w:firstLineChars="200"/>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1.</w:t>
      </w:r>
      <w:r>
        <w:rPr>
          <w:rStyle w:val="16"/>
          <w:rFonts w:hint="eastAsia" w:ascii="仿宋" w:eastAsia="仿宋"/>
          <w:bCs/>
          <w:color w:val="000000"/>
          <w:sz w:val="32"/>
          <w:szCs w:val="32"/>
        </w:rPr>
        <w:t>一般公共服务（类）人大事务（款）行政运行（项）：</w:t>
      </w:r>
      <w:r>
        <w:rPr>
          <w:rStyle w:val="16"/>
          <w:rFonts w:hint="eastAsia" w:ascii="仿宋" w:hAnsi="仿宋" w:eastAsia="仿宋"/>
          <w:b w:val="0"/>
          <w:bCs/>
          <w:color w:val="000000"/>
          <w:sz w:val="32"/>
          <w:szCs w:val="32"/>
        </w:rPr>
        <w:t>支出决算为1087.97万元，完成预算100%。</w:t>
      </w:r>
    </w:p>
    <w:p>
      <w:pPr>
        <w:spacing w:line="600" w:lineRule="exact"/>
        <w:ind w:firstLine="640" w:firstLineChars="200"/>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2.</w:t>
      </w:r>
      <w:r>
        <w:rPr>
          <w:rStyle w:val="16"/>
          <w:rFonts w:hint="eastAsia" w:ascii="仿宋" w:eastAsia="仿宋"/>
          <w:bCs/>
          <w:color w:val="000000"/>
          <w:sz w:val="32"/>
          <w:szCs w:val="32"/>
        </w:rPr>
        <w:t>一般公共服务（类）人大事务（款）一般行政管理事务（项）：</w:t>
      </w:r>
      <w:r>
        <w:rPr>
          <w:rStyle w:val="16"/>
          <w:rFonts w:hint="eastAsia" w:ascii="仿宋" w:hAnsi="仿宋" w:eastAsia="仿宋"/>
          <w:b w:val="0"/>
          <w:bCs/>
          <w:color w:val="000000"/>
          <w:sz w:val="32"/>
          <w:szCs w:val="32"/>
        </w:rPr>
        <w:t>支出决算为127.09万元，完成预算100%。</w:t>
      </w:r>
    </w:p>
    <w:p>
      <w:pPr>
        <w:spacing w:line="600" w:lineRule="exact"/>
        <w:ind w:firstLine="640" w:firstLineChars="200"/>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3.</w:t>
      </w:r>
      <w:r>
        <w:rPr>
          <w:rStyle w:val="16"/>
          <w:rFonts w:hint="eastAsia" w:ascii="仿宋" w:eastAsia="仿宋"/>
          <w:bCs/>
          <w:color w:val="000000"/>
          <w:sz w:val="32"/>
          <w:szCs w:val="32"/>
        </w:rPr>
        <w:t>一般公共服务（类）人大事务（款）人大会议（项）：</w:t>
      </w:r>
      <w:r>
        <w:rPr>
          <w:rStyle w:val="16"/>
          <w:rFonts w:hint="eastAsia" w:ascii="仿宋" w:hAnsi="仿宋" w:eastAsia="仿宋"/>
          <w:b w:val="0"/>
          <w:bCs/>
          <w:color w:val="000000"/>
          <w:sz w:val="32"/>
          <w:szCs w:val="32"/>
        </w:rPr>
        <w:t>支出决算为181.44万元，完成预算100%。</w:t>
      </w:r>
    </w:p>
    <w:p>
      <w:pPr>
        <w:spacing w:line="600" w:lineRule="exact"/>
        <w:ind w:firstLine="640" w:firstLineChars="200"/>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4.</w:t>
      </w:r>
      <w:r>
        <w:rPr>
          <w:rStyle w:val="16"/>
          <w:rFonts w:hint="eastAsia" w:ascii="仿宋" w:eastAsia="仿宋"/>
          <w:bCs/>
          <w:color w:val="000000"/>
          <w:sz w:val="32"/>
          <w:szCs w:val="32"/>
        </w:rPr>
        <w:t>一般公共服务（类）人大事务（款）人大立法（项）：</w:t>
      </w:r>
      <w:r>
        <w:rPr>
          <w:rStyle w:val="16"/>
          <w:rFonts w:hint="eastAsia" w:ascii="仿宋" w:hAnsi="仿宋" w:eastAsia="仿宋"/>
          <w:b w:val="0"/>
          <w:bCs/>
          <w:color w:val="000000"/>
          <w:sz w:val="32"/>
          <w:szCs w:val="32"/>
        </w:rPr>
        <w:t>支出决算为18万元，完成预算100%。</w:t>
      </w:r>
    </w:p>
    <w:p>
      <w:pPr>
        <w:spacing w:line="600" w:lineRule="exact"/>
        <w:ind w:firstLine="640" w:firstLineChars="200"/>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5.</w:t>
      </w:r>
      <w:r>
        <w:rPr>
          <w:rStyle w:val="16"/>
          <w:rFonts w:hint="eastAsia" w:ascii="仿宋" w:eastAsia="仿宋"/>
          <w:bCs/>
          <w:color w:val="000000"/>
          <w:sz w:val="32"/>
          <w:szCs w:val="32"/>
        </w:rPr>
        <w:t>一般公共服务（类）人大事务（款）人大监督（项）：</w:t>
      </w:r>
      <w:r>
        <w:rPr>
          <w:rStyle w:val="16"/>
          <w:rFonts w:hint="eastAsia" w:ascii="仿宋" w:hAnsi="仿宋" w:eastAsia="仿宋"/>
          <w:b w:val="0"/>
          <w:bCs/>
          <w:color w:val="000000"/>
          <w:sz w:val="32"/>
          <w:szCs w:val="32"/>
        </w:rPr>
        <w:t>支出决算为8万元，完成预算100%。</w:t>
      </w:r>
    </w:p>
    <w:p>
      <w:pPr>
        <w:spacing w:line="600" w:lineRule="exact"/>
        <w:ind w:firstLine="640" w:firstLineChars="200"/>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6.</w:t>
      </w:r>
      <w:r>
        <w:rPr>
          <w:rStyle w:val="16"/>
          <w:rFonts w:hint="eastAsia" w:ascii="仿宋" w:eastAsia="仿宋"/>
          <w:bCs/>
          <w:color w:val="000000"/>
          <w:sz w:val="32"/>
          <w:szCs w:val="32"/>
        </w:rPr>
        <w:t>一般公共服务（类）人大事务（款）代表工作（项）：</w:t>
      </w:r>
      <w:r>
        <w:rPr>
          <w:rStyle w:val="16"/>
          <w:rFonts w:hint="eastAsia" w:ascii="仿宋" w:hAnsi="仿宋" w:eastAsia="仿宋"/>
          <w:b w:val="0"/>
          <w:bCs/>
          <w:color w:val="000000"/>
          <w:sz w:val="32"/>
          <w:szCs w:val="32"/>
        </w:rPr>
        <w:t>支出决算为57.90万元，完成预算100%。</w:t>
      </w:r>
    </w:p>
    <w:p>
      <w:pPr>
        <w:spacing w:line="600" w:lineRule="exact"/>
        <w:ind w:firstLine="640" w:firstLineChars="200"/>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7.</w:t>
      </w:r>
      <w:r>
        <w:rPr>
          <w:rStyle w:val="16"/>
          <w:rFonts w:hint="eastAsia" w:ascii="仿宋" w:eastAsia="仿宋"/>
          <w:bCs/>
          <w:color w:val="000000"/>
          <w:sz w:val="32"/>
          <w:szCs w:val="32"/>
        </w:rPr>
        <w:t>社会保障和就业（类）行政事业单位离退休（款）； 未归口管理的行政单位离退休（项）：</w:t>
      </w:r>
      <w:r>
        <w:rPr>
          <w:rStyle w:val="16"/>
          <w:rFonts w:hint="eastAsia" w:ascii="仿宋" w:hAnsi="仿宋" w:eastAsia="仿宋"/>
          <w:b w:val="0"/>
          <w:bCs/>
          <w:color w:val="000000"/>
          <w:sz w:val="32"/>
          <w:szCs w:val="32"/>
        </w:rPr>
        <w:t>支出决算为98.55万元，完成预算100%。</w:t>
      </w:r>
    </w:p>
    <w:p>
      <w:pPr>
        <w:spacing w:line="600" w:lineRule="exact"/>
        <w:ind w:firstLine="640" w:firstLineChars="200"/>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8.</w:t>
      </w:r>
      <w:r>
        <w:rPr>
          <w:rStyle w:val="16"/>
          <w:rFonts w:hint="eastAsia" w:ascii="仿宋" w:eastAsia="仿宋"/>
          <w:bCs/>
          <w:color w:val="000000"/>
          <w:sz w:val="32"/>
          <w:szCs w:val="32"/>
        </w:rPr>
        <w:t>社会保障和就业（类）行政事业单位离退休（款） 机关事业单位基本养老保险缴费支出（项）：</w:t>
      </w:r>
      <w:r>
        <w:rPr>
          <w:rStyle w:val="16"/>
          <w:rFonts w:hint="eastAsia" w:ascii="仿宋" w:hAnsi="仿宋" w:eastAsia="仿宋"/>
          <w:b w:val="0"/>
          <w:bCs/>
          <w:color w:val="000000"/>
          <w:sz w:val="32"/>
          <w:szCs w:val="32"/>
        </w:rPr>
        <w:t>支出决算为64.51万元，完成预算100%。</w:t>
      </w:r>
    </w:p>
    <w:p>
      <w:pPr>
        <w:spacing w:line="600" w:lineRule="exact"/>
        <w:ind w:firstLine="640" w:firstLineChars="200"/>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9.</w:t>
      </w:r>
      <w:r>
        <w:rPr>
          <w:rStyle w:val="16"/>
          <w:rFonts w:hint="eastAsia" w:ascii="仿宋" w:eastAsia="仿宋"/>
          <w:bCs/>
          <w:color w:val="000000"/>
          <w:sz w:val="32"/>
          <w:szCs w:val="32"/>
        </w:rPr>
        <w:t>社会保障和就业（类）行政事业单位离退休（款） 其他行政事业单位养老支出（项）：</w:t>
      </w:r>
      <w:r>
        <w:rPr>
          <w:rStyle w:val="16"/>
          <w:rFonts w:hint="eastAsia" w:ascii="仿宋" w:hAnsi="仿宋" w:eastAsia="仿宋"/>
          <w:b w:val="0"/>
          <w:bCs/>
          <w:color w:val="000000"/>
          <w:sz w:val="32"/>
          <w:szCs w:val="32"/>
        </w:rPr>
        <w:t>支出决算为2.97万元，完成预算100%。</w:t>
      </w:r>
    </w:p>
    <w:p>
      <w:pPr>
        <w:spacing w:line="600" w:lineRule="exact"/>
        <w:ind w:firstLine="640" w:firstLineChars="200"/>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10.</w:t>
      </w:r>
      <w:r>
        <w:rPr>
          <w:rStyle w:val="16"/>
          <w:rFonts w:hint="eastAsia" w:ascii="仿宋" w:eastAsia="仿宋"/>
          <w:bCs/>
          <w:color w:val="000000"/>
          <w:sz w:val="32"/>
          <w:szCs w:val="32"/>
        </w:rPr>
        <w:t>社会保障和就业（类）抚恤（款）死亡抚恤（项）：</w:t>
      </w:r>
      <w:r>
        <w:rPr>
          <w:rStyle w:val="16"/>
          <w:rFonts w:hint="eastAsia" w:ascii="仿宋" w:hAnsi="仿宋" w:eastAsia="仿宋"/>
          <w:b w:val="0"/>
          <w:bCs/>
          <w:color w:val="000000"/>
          <w:sz w:val="32"/>
          <w:szCs w:val="32"/>
        </w:rPr>
        <w:t>支出决算为76.61万元，完成预算100%。</w:t>
      </w:r>
    </w:p>
    <w:p>
      <w:pPr>
        <w:spacing w:line="600" w:lineRule="exact"/>
        <w:ind w:firstLine="640" w:firstLineChars="200"/>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11.</w:t>
      </w:r>
      <w:r>
        <w:rPr>
          <w:rStyle w:val="16"/>
          <w:rFonts w:hint="eastAsia" w:ascii="仿宋" w:eastAsia="仿宋"/>
          <w:bCs/>
          <w:color w:val="000000"/>
          <w:sz w:val="32"/>
          <w:szCs w:val="32"/>
        </w:rPr>
        <w:t>卫生健康支出（类）行政事业单位医疗（款） 行政单位医疗（项）：</w:t>
      </w:r>
      <w:r>
        <w:rPr>
          <w:rStyle w:val="16"/>
          <w:rFonts w:hint="eastAsia" w:ascii="仿宋" w:hAnsi="仿宋" w:eastAsia="仿宋"/>
          <w:b w:val="0"/>
          <w:bCs/>
          <w:color w:val="000000"/>
          <w:sz w:val="32"/>
          <w:szCs w:val="32"/>
        </w:rPr>
        <w:t>支出决算为42.05万元，完成预算100%。</w:t>
      </w:r>
    </w:p>
    <w:p>
      <w:pPr>
        <w:spacing w:line="600" w:lineRule="exact"/>
        <w:ind w:firstLine="640" w:firstLineChars="200"/>
        <w:rPr>
          <w:rStyle w:val="16"/>
          <w:rFonts w:ascii="仿宋" w:hAnsi="仿宋" w:eastAsia="仿宋"/>
          <w:b w:val="0"/>
          <w:bCs/>
          <w:color w:val="000000"/>
          <w:sz w:val="32"/>
          <w:szCs w:val="32"/>
        </w:rPr>
      </w:pPr>
      <w:r>
        <w:rPr>
          <w:rStyle w:val="16"/>
          <w:rFonts w:hint="eastAsia" w:ascii="仿宋" w:hAnsi="仿宋" w:eastAsia="仿宋"/>
          <w:b w:val="0"/>
          <w:bCs/>
          <w:color w:val="000000"/>
          <w:sz w:val="32"/>
          <w:szCs w:val="32"/>
        </w:rPr>
        <w:t>12.</w:t>
      </w:r>
      <w:r>
        <w:rPr>
          <w:rStyle w:val="16"/>
          <w:rFonts w:hint="eastAsia" w:ascii="仿宋" w:eastAsia="仿宋"/>
          <w:bCs/>
          <w:color w:val="000000"/>
          <w:sz w:val="32"/>
          <w:szCs w:val="32"/>
        </w:rPr>
        <w:t>住房保障支出（类）住房改革支出（款）住房公积金支出（项）：</w:t>
      </w:r>
      <w:r>
        <w:rPr>
          <w:rStyle w:val="16"/>
          <w:rFonts w:hint="eastAsia" w:ascii="仿宋" w:hAnsi="仿宋" w:eastAsia="仿宋"/>
          <w:b w:val="0"/>
          <w:bCs/>
          <w:color w:val="000000"/>
          <w:sz w:val="32"/>
          <w:szCs w:val="32"/>
        </w:rPr>
        <w:t>支出决算为98.06万元，完成预算100%。</w:t>
      </w:r>
    </w:p>
    <w:p>
      <w:pPr>
        <w:tabs>
          <w:tab w:val="right" w:pos="8306"/>
        </w:tabs>
        <w:spacing w:line="600" w:lineRule="exact"/>
        <w:ind w:firstLine="640"/>
        <w:outlineLvl w:val="1"/>
        <w:rPr>
          <w:rStyle w:val="27"/>
        </w:rPr>
      </w:pPr>
      <w:bookmarkStart w:id="38" w:name="_Toc15377214"/>
      <w:bookmarkStart w:id="39"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38"/>
      <w:bookmarkEnd w:id="39"/>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2020年一般公共预算财政拨款基本支出1470.71万元，其中：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1256.90万元，主要包括：基本工资281.79万元、津贴补贴204.53万元、奖金25.89万元、机关事业单位基本养老保险缴费64.51万元、职工基本医疗保险缴费28.71万元，公务员医疗补助缴费13.34万元，其他社会保障缴费2.05万元、住房公积金98.06万元、其他工资福利支出347.23万元，离休费11.56万元，抚恤金74.84万元、生活补助1.77万元、其他对个人和家庭的补助支出102.62万元。</w:t>
      </w:r>
      <w:r>
        <w:rPr>
          <w:rFonts w:ascii="仿宋" w:hAnsi="仿宋" w:eastAsia="仿宋"/>
          <w:color w:val="000000"/>
          <w:sz w:val="32"/>
          <w:szCs w:val="32"/>
        </w:rPr>
        <w:br w:type="textWrapping"/>
      </w:r>
      <w:r>
        <w:rPr>
          <w:rFonts w:hint="eastAsia" w:ascii="仿宋" w:hAnsi="仿宋" w:eastAsia="仿宋"/>
          <w:color w:val="000000"/>
          <w:sz w:val="32"/>
          <w:szCs w:val="32"/>
        </w:rPr>
        <w:t>　　日常公用经费213.81万元，主要包括：办公费18.35万元、印刷费3.83万元、手续费0.04万元、邮电费9.52万元、物业管理费6.06万元、差旅费24.66万元,维修（护）费0.14万元、会议费0.37万元、培训费3.89万元、公务接待费2万元、劳务费2.68万元、委托业务费0.3万元、工会经费15.72万元、福利费17.23万元、公务车用车运行维护费运行39.98万元、其他交通费59.88万元,其他商品和服务支出9.16万元。</w:t>
      </w:r>
    </w:p>
    <w:p>
      <w:pPr>
        <w:spacing w:line="600" w:lineRule="exact"/>
        <w:ind w:firstLine="640"/>
        <w:outlineLvl w:val="1"/>
        <w:rPr>
          <w:rStyle w:val="27"/>
          <w:rFonts w:ascii="黑体" w:hAnsi="黑体" w:eastAsia="黑体"/>
          <w:b w:val="0"/>
        </w:rPr>
      </w:pPr>
      <w:bookmarkStart w:id="40" w:name="_Toc15377215"/>
      <w:bookmarkStart w:id="41" w:name="_Toc15396609"/>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0"/>
      <w:bookmarkEnd w:id="41"/>
    </w:p>
    <w:p>
      <w:pPr>
        <w:spacing w:line="600" w:lineRule="exact"/>
        <w:ind w:firstLine="640"/>
        <w:outlineLvl w:val="2"/>
        <w:rPr>
          <w:rFonts w:ascii="仿宋" w:hAnsi="仿宋" w:eastAsia="仿宋"/>
          <w:b/>
          <w:color w:val="000000"/>
          <w:sz w:val="32"/>
          <w:szCs w:val="32"/>
        </w:rPr>
      </w:pPr>
      <w:bookmarkStart w:id="42" w:name="_Toc15377216"/>
      <w:r>
        <w:rPr>
          <w:rFonts w:hint="eastAsia" w:ascii="仿宋" w:hAnsi="仿宋" w:eastAsia="仿宋"/>
          <w:b/>
          <w:color w:val="000000"/>
          <w:sz w:val="32"/>
          <w:szCs w:val="32"/>
        </w:rPr>
        <w:t>（一）“三公”经费财政拨款支出决算总体情况说明</w:t>
      </w:r>
      <w:bookmarkEnd w:id="42"/>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2020年“三公”经费财政拨款支出决算为81.12万元，完成预算92.55</w:t>
      </w:r>
      <w:r>
        <w:rPr>
          <w:rFonts w:ascii="仿宋" w:hAnsi="仿宋" w:eastAsia="仿宋"/>
          <w:color w:val="000000"/>
          <w:sz w:val="32"/>
          <w:szCs w:val="32"/>
        </w:rPr>
        <w:t>%</w:t>
      </w:r>
      <w:r>
        <w:rPr>
          <w:rFonts w:hint="eastAsia" w:ascii="仿宋" w:hAnsi="仿宋" w:eastAsia="仿宋"/>
          <w:color w:val="000000"/>
          <w:sz w:val="32"/>
          <w:szCs w:val="32"/>
        </w:rPr>
        <w:t>，决算数小于预算数6.53万元的主要原因是公务接待减少，厉行节约有效控制。</w:t>
      </w:r>
    </w:p>
    <w:p>
      <w:pPr>
        <w:spacing w:line="600" w:lineRule="exact"/>
        <w:ind w:firstLine="640"/>
        <w:outlineLvl w:val="2"/>
        <w:rPr>
          <w:rFonts w:ascii="仿宋" w:hAnsi="仿宋" w:eastAsia="仿宋"/>
          <w:b/>
          <w:color w:val="000000"/>
          <w:sz w:val="32"/>
          <w:szCs w:val="32"/>
        </w:rPr>
      </w:pPr>
      <w:bookmarkStart w:id="43" w:name="_Toc15377217"/>
      <w:r>
        <w:rPr>
          <w:rFonts w:hint="eastAsia" w:ascii="仿宋" w:hAnsi="仿宋" w:eastAsia="仿宋"/>
          <w:b/>
          <w:color w:val="000000"/>
          <w:sz w:val="32"/>
          <w:szCs w:val="32"/>
        </w:rPr>
        <w:t>（二）“三公”经费财政拨款支出决算具体情况说明</w:t>
      </w:r>
      <w:bookmarkEnd w:id="43"/>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2020年“三公”经费财政拨款支出决算中，因公出国（境）费支出决算0万元，占0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；公务用车购置及运行维护费支出决算79.12万元,占97.54%；公务接待费支出决算2万元，占2.47</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ascii="仿宋_GB2312" w:hAnsi="仿宋" w:eastAsia="仿宋_GB2312"/>
          <w:sz w:val="32"/>
          <w:szCs w:val="32"/>
        </w:rPr>
        <w:pict>
          <v:shape id="_x0000_s1034" o:spid="_x0000_s1034" o:spt="75" type="#_x0000_t75" style="position:absolute;left:0pt;margin-left:0.05pt;margin-top:19.85pt;height:190.5pt;width:449.2pt;z-index:251661312;mso-width-relative:page;mso-height-relative:page;" o:ole="t" filled="f" o:preferrelative="t" stroked="f" coordsize="21600,21600">
            <v:path/>
            <v:fill on="f" focussize="0,0"/>
            <v:stroke on="f" joinstyle="miter"/>
            <v:imagedata r:id="rId19" o:title=""/>
            <o:lock v:ext="edit" aspectratio="t"/>
          </v:shape>
          <o:OLEObject Type="Embed" ProgID="Excel.Sheet.12" ShapeID="_x0000_s1034" DrawAspect="Content" ObjectID="_1468075731" r:id="rId18">
            <o:LockedField>false</o:LockedField>
          </o:OLEObject>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hint="eastAsia"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6"/>
          <w:rFonts w:hint="eastAsia" w:ascii="仿宋" w:hAnsi="仿宋" w:eastAsia="仿宋"/>
          <w:b w:val="0"/>
          <w:bCs/>
          <w:color w:val="000000"/>
          <w:sz w:val="32"/>
          <w:szCs w:val="32"/>
        </w:rPr>
        <w:t>完成预算0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79.12万元,</w:t>
      </w:r>
      <w:r>
        <w:rPr>
          <w:rStyle w:val="16"/>
          <w:rFonts w:hint="eastAsia" w:ascii="仿宋" w:hAnsi="仿宋" w:eastAsia="仿宋"/>
          <w:b w:val="0"/>
          <w:bCs/>
          <w:color w:val="000000"/>
          <w:sz w:val="32"/>
          <w:szCs w:val="32"/>
        </w:rPr>
        <w:t>完成预算99.97</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公务用车购置及运行维护费支出决算比2019年增加39.11万元，增长97.75</w:t>
      </w:r>
      <w:r>
        <w:rPr>
          <w:rFonts w:ascii="仿宋_GB2312" w:eastAsia="仿宋_GB2312"/>
          <w:color w:val="000000"/>
          <w:sz w:val="32"/>
          <w:szCs w:val="32"/>
        </w:rPr>
        <w:t>%</w:t>
      </w:r>
      <w:r>
        <w:rPr>
          <w:rFonts w:hint="eastAsia" w:ascii="仿宋_GB2312" w:eastAsia="仿宋_GB2312"/>
          <w:color w:val="000000"/>
          <w:sz w:val="32"/>
          <w:szCs w:val="32"/>
        </w:rPr>
        <w:t>。主要原因是根据单位实际工作需要，购买公车2辆。</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39.14万元。全年按规定更新购置公务用车2辆，金额39.14万</w:t>
      </w:r>
      <w:r>
        <w:rPr>
          <w:rFonts w:ascii="仿宋_GB2312" w:eastAsia="仿宋_GB2312"/>
          <w:color w:val="000000"/>
          <w:sz w:val="32"/>
          <w:szCs w:val="32"/>
        </w:rPr>
        <w:t>元。</w:t>
      </w:r>
      <w:r>
        <w:rPr>
          <w:rFonts w:hint="eastAsia" w:ascii="仿宋_GB2312" w:eastAsia="仿宋_GB2312"/>
          <w:color w:val="000000"/>
          <w:sz w:val="32"/>
          <w:szCs w:val="32"/>
        </w:rPr>
        <w:t>截至2020年</w:t>
      </w:r>
      <w:r>
        <w:rPr>
          <w:rFonts w:ascii="仿宋_GB2312" w:eastAsia="仿宋_GB2312"/>
          <w:color w:val="000000"/>
          <w:sz w:val="32"/>
          <w:szCs w:val="32"/>
        </w:rPr>
        <w:t>12</w:t>
      </w:r>
      <w:r>
        <w:rPr>
          <w:rFonts w:hint="eastAsia" w:ascii="仿宋_GB2312" w:eastAsia="仿宋_GB2312"/>
          <w:color w:val="000000"/>
          <w:sz w:val="32"/>
          <w:szCs w:val="32"/>
        </w:rPr>
        <w:t>月底，单位共有公务用车9辆，其中：应急保障用车7辆、机要通信用车1辆、调研视察车1辆。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39.98万元。主要用于</w:t>
      </w:r>
      <w:r>
        <w:rPr>
          <w:rFonts w:ascii="仿宋_GB2312" w:hAnsi="宋体" w:eastAsia="仿宋_GB2312" w:cs="仿宋_GB2312"/>
          <w:color w:val="000000"/>
          <w:sz w:val="32"/>
          <w:szCs w:val="32"/>
          <w:shd w:val="clear" w:color="auto" w:fill="FFFFFF"/>
        </w:rPr>
        <w:t>常委会执法检查、立法调研工作等所需的公务用车燃料费、维修费、过路过桥费、保险费等支出。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2万元，</w:t>
      </w:r>
      <w:r>
        <w:rPr>
          <w:rStyle w:val="16"/>
          <w:rFonts w:hint="eastAsia" w:ascii="仿宋" w:hAnsi="仿宋" w:eastAsia="仿宋"/>
          <w:b w:val="0"/>
          <w:bCs/>
          <w:color w:val="000000"/>
          <w:sz w:val="32"/>
          <w:szCs w:val="32"/>
        </w:rPr>
        <w:t>完成预算23.50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公务接待费支出决算比2019年减少0.17万元，下降7.83</w:t>
      </w:r>
      <w:r>
        <w:rPr>
          <w:rFonts w:ascii="仿宋_GB2312" w:eastAsia="仿宋_GB2312"/>
          <w:color w:val="000000"/>
          <w:sz w:val="32"/>
          <w:szCs w:val="32"/>
        </w:rPr>
        <w:t>%</w:t>
      </w:r>
      <w:r>
        <w:rPr>
          <w:rFonts w:hint="eastAsia" w:ascii="仿宋_GB2312" w:eastAsia="仿宋_GB2312"/>
          <w:color w:val="000000"/>
          <w:sz w:val="32"/>
          <w:szCs w:val="32"/>
        </w:rPr>
        <w:t>。严格按照中央八项规定，厉行节约，减少不必要的接待。其中：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2</w:t>
      </w:r>
      <w:r>
        <w:rPr>
          <w:rFonts w:hint="eastAsia" w:ascii="仿宋_GB2312" w:eastAsia="仿宋_GB2312"/>
          <w:color w:val="000000"/>
          <w:sz w:val="32"/>
          <w:szCs w:val="32"/>
        </w:rPr>
        <w:t>万元，主要用于来遂宁调研考察所产生用餐费等。国内公务接待18批次，210人次（不包括陪同人员），共计支出2万元，具体内容包括：接待外地市州人大来遂宁调研、考察等。</w:t>
      </w: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，外事接待0批次，0人，共计支出0万元</w:t>
      </w:r>
      <w:r>
        <w:rPr>
          <w:rFonts w:hint="eastAsia" w:ascii="仿宋_GB2312" w:eastAsia="仿宋_GB2312"/>
          <w:color w:val="000000"/>
          <w:sz w:val="32"/>
          <w:szCs w:val="32"/>
        </w:rPr>
        <w:t>。</w:t>
      </w:r>
    </w:p>
    <w:p>
      <w:pPr>
        <w:spacing w:line="600" w:lineRule="exact"/>
        <w:ind w:firstLine="640"/>
        <w:outlineLvl w:val="1"/>
        <w:rPr>
          <w:rStyle w:val="27"/>
          <w:rFonts w:ascii="黑体" w:hAnsi="黑体" w:eastAsia="黑体"/>
        </w:rPr>
      </w:pPr>
      <w:bookmarkStart w:id="44" w:name="_Toc15396610"/>
      <w:bookmarkStart w:id="45" w:name="_Toc15377218"/>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2020年政府性基金预算拨款支出0万元。</w:t>
      </w:r>
    </w:p>
    <w:p>
      <w:pPr>
        <w:numPr>
          <w:ilvl w:val="0"/>
          <w:numId w:val="2"/>
        </w:numPr>
        <w:spacing w:line="600" w:lineRule="exact"/>
        <w:ind w:firstLine="640"/>
        <w:outlineLvl w:val="1"/>
        <w:rPr>
          <w:rStyle w:val="27"/>
          <w:rFonts w:ascii="黑体" w:hAnsi="黑体" w:eastAsia="黑体"/>
          <w:b w:val="0"/>
        </w:rPr>
      </w:pPr>
      <w:bookmarkStart w:id="46" w:name="_Toc15377219"/>
      <w:bookmarkStart w:id="47" w:name="_Toc15396611"/>
      <w:r>
        <w:rPr>
          <w:rStyle w:val="27"/>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2020年国有资本经营预算拨款支出0万元。</w:t>
      </w:r>
    </w:p>
    <w:p>
      <w:pPr>
        <w:spacing w:line="600" w:lineRule="exact"/>
        <w:ind w:firstLine="800" w:firstLineChars="250"/>
        <w:outlineLvl w:val="1"/>
        <w:rPr>
          <w:rStyle w:val="27"/>
          <w:rFonts w:ascii="黑体" w:hAnsi="黑体" w:eastAsia="黑体"/>
        </w:rPr>
      </w:pPr>
      <w:bookmarkStart w:id="48" w:name="_Toc15377221"/>
      <w:bookmarkStart w:id="49" w:name="_Toc15396612"/>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bookmarkEnd w:id="48"/>
      <w:bookmarkEnd w:id="49"/>
    </w:p>
    <w:p>
      <w:pPr>
        <w:spacing w:line="600" w:lineRule="exact"/>
        <w:ind w:firstLine="643"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2020年，遂宁市人大常委会办公室机关运行经费支出213.82万元，比2019年增加69.42万元，增长48.07</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主要原因是三公经费2020年度预算在日常公用经费，2019年度预算在项目经费，故对比机关运行经费增加。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2020年，遂宁市人大常委会办公室政府采购支出总额35.96万元，其中：政府采购货物支出35.96万元、政府采购工程支出0万元、政府采购服务支出0万元。主要用于办公电脑等。授予中小企业合同金额35.96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，其中：授予小微企业合同金额35.96万元，占政府采购支出总额的100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截至2020年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日，遂宁市人大常委会办公室共有公务车辆9辆，其中：机要通信用车1辆、应急保障用车7辆、其他用车1辆。</w:t>
      </w:r>
      <w:r>
        <w:rPr>
          <w:rFonts w:hint="eastAsia" w:ascii="仿宋_GB2312" w:eastAsia="仿宋_GB2312"/>
          <w:color w:val="000000" w:themeColor="text1"/>
          <w:sz w:val="32"/>
          <w:szCs w:val="32"/>
          <w14:textFill>
            <w14:solidFill>
              <w14:schemeClr w14:val="tx1"/>
            </w14:solidFill>
          </w14:textFill>
        </w:rPr>
        <w:t>其他用车主要是用于视察调研。单价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万元以上通用设备0台（套），单价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万元以上专用设备1套。</w:t>
      </w:r>
    </w:p>
    <w:p>
      <w:pPr>
        <w:autoSpaceDE w:val="0"/>
        <w:autoSpaceDN w:val="0"/>
        <w:adjustRightInd w:val="0"/>
        <w:spacing w:line="600" w:lineRule="exact"/>
        <w:ind w:firstLine="643" w:firstLineChars="200"/>
        <w:jc w:val="left"/>
        <w:outlineLvl w:val="2"/>
        <w:rPr>
          <w:rFonts w:hint="eastAsia" w:ascii="仿宋" w:hAnsi="仿宋" w:eastAsia="仿宋"/>
          <w:b/>
          <w:color w:val="000000"/>
          <w:sz w:val="32"/>
          <w:szCs w:val="32"/>
        </w:rPr>
      </w:pPr>
      <w:r>
        <w:rPr>
          <w:rFonts w:hint="eastAsia" w:ascii="仿宋" w:hAnsi="仿宋" w:eastAsia="仿宋"/>
          <w:b/>
          <w:color w:val="000000"/>
          <w:sz w:val="32"/>
          <w:szCs w:val="32"/>
        </w:rPr>
        <w:t>（四）预算绩效管理情况</w:t>
      </w:r>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根据预算绩效管理要求，</w:t>
      </w:r>
      <w:r>
        <w:rPr>
          <w:rFonts w:hint="eastAsia" w:ascii="仿宋_GB2312" w:eastAsia="仿宋_GB2312"/>
          <w:color w:val="000000"/>
          <w:sz w:val="32"/>
          <w:szCs w:val="32"/>
          <w:lang w:eastAsia="zh-CN"/>
        </w:rPr>
        <w:t>我单位</w:t>
      </w:r>
      <w:r>
        <w:rPr>
          <w:rFonts w:hint="eastAsia" w:ascii="仿宋_GB2312" w:eastAsia="仿宋_GB2312"/>
          <w:color w:val="000000"/>
          <w:sz w:val="32"/>
          <w:szCs w:val="32"/>
        </w:rPr>
        <w:t>在年初预算编制阶段，组织对地方立法专项经费、各专工委室工作经费、代表活动费、预算专家咨询专项经费和市七届人大</w:t>
      </w:r>
      <w:r>
        <w:rPr>
          <w:rFonts w:hint="eastAsia" w:ascii="仿宋_GB2312" w:eastAsia="仿宋_GB2312"/>
          <w:color w:val="000000"/>
          <w:sz w:val="32"/>
          <w:szCs w:val="32"/>
          <w:lang w:eastAsia="zh-CN"/>
        </w:rPr>
        <w:t>六次会议经费</w:t>
      </w:r>
      <w:r>
        <w:rPr>
          <w:rFonts w:hint="eastAsia" w:ascii="仿宋_GB2312" w:eastAsia="仿宋_GB2312"/>
          <w:color w:val="000000"/>
          <w:sz w:val="32"/>
          <w:szCs w:val="32"/>
        </w:rPr>
        <w:t>等开展了预算事前绩效评估，对</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个项目编制了绩效目标，预算执行过程中，选取</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个项目开展绩效监控，年终执行完毕后，对</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个项目开展了绩效目标完成情况自评。</w:t>
      </w:r>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lang w:eastAsia="zh-CN"/>
        </w:rPr>
        <w:t>我单位</w:t>
      </w:r>
      <w:r>
        <w:rPr>
          <w:rFonts w:hint="eastAsia" w:ascii="仿宋_GB2312" w:eastAsia="仿宋_GB2312"/>
          <w:color w:val="000000"/>
          <w:sz w:val="32"/>
          <w:szCs w:val="32"/>
        </w:rPr>
        <w:t>按要求对2</w:t>
      </w:r>
      <w:r>
        <w:rPr>
          <w:rFonts w:hint="eastAsia" w:ascii="仿宋_GB2312" w:eastAsia="仿宋_GB2312"/>
          <w:color w:val="000000"/>
          <w:sz w:val="32"/>
          <w:szCs w:val="32"/>
          <w:lang w:val="en-US" w:eastAsia="zh-CN"/>
        </w:rPr>
        <w:t>020</w:t>
      </w:r>
      <w:r>
        <w:rPr>
          <w:rFonts w:hint="eastAsia" w:ascii="仿宋_GB2312" w:eastAsia="仿宋_GB2312"/>
          <w:color w:val="000000"/>
          <w:sz w:val="32"/>
          <w:szCs w:val="32"/>
        </w:rPr>
        <w:t>年部门整体支出开展绩效自评，从</w:t>
      </w:r>
      <w:r>
        <w:rPr>
          <w:rFonts w:hint="eastAsia" w:ascii="仿宋_GB2312" w:eastAsia="仿宋_GB2312"/>
          <w:color w:val="000000"/>
          <w:sz w:val="32"/>
          <w:szCs w:val="32"/>
          <w:lang w:eastAsia="zh-CN"/>
        </w:rPr>
        <w:t>评价情况</w:t>
      </w:r>
      <w:bookmarkStart w:id="71" w:name="_GoBack"/>
      <w:bookmarkEnd w:id="71"/>
      <w:r>
        <w:rPr>
          <w:rFonts w:hint="eastAsia" w:ascii="仿宋_GB2312" w:eastAsia="仿宋_GB2312"/>
          <w:color w:val="000000"/>
          <w:sz w:val="32"/>
          <w:szCs w:val="32"/>
          <w:lang w:eastAsia="zh-CN"/>
        </w:rPr>
        <w:t>来看市人大常委会办公室采取了有效的资金绩效管控措施，预算编制紧扣部门职能和实际情况，绩效目标编</w:t>
      </w:r>
      <w:r>
        <w:rPr>
          <w:rFonts w:hint="eastAsia" w:ascii="仿宋_GB2312" w:eastAsia="仿宋_GB2312"/>
          <w:color w:val="000000"/>
          <w:sz w:val="32"/>
          <w:szCs w:val="32"/>
        </w:rPr>
        <w:t>制切实可行，各项资金使用严格履行审批程序，达到了预期资金使用效果，较好的服务和保障了市人大常委会圆满完成年度立法工作、监督工作、调研工作以及代表工作，实现了20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财政预算支出的绩效目标。</w:t>
      </w:r>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1.项目绩效目标完成情况</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（1）各专工委室工作经费项目绩效目标完成情况综述。项目全年预算数</w:t>
      </w:r>
      <w:r>
        <w:rPr>
          <w:rFonts w:hint="eastAsia" w:ascii="仿宋_GB2312" w:eastAsia="仿宋_GB2312"/>
          <w:color w:val="000000"/>
          <w:sz w:val="32"/>
          <w:szCs w:val="32"/>
          <w:lang w:val="en-US" w:eastAsia="zh-CN"/>
        </w:rPr>
        <w:t>70</w:t>
      </w:r>
      <w:r>
        <w:rPr>
          <w:rFonts w:hint="eastAsia" w:ascii="仿宋_GB2312" w:eastAsia="仿宋_GB2312"/>
          <w:color w:val="000000"/>
          <w:sz w:val="32"/>
          <w:szCs w:val="32"/>
        </w:rPr>
        <w:t>万元，执行数为</w:t>
      </w:r>
      <w:r>
        <w:rPr>
          <w:rFonts w:hint="eastAsia" w:ascii="仿宋_GB2312" w:eastAsia="仿宋_GB2312"/>
          <w:color w:val="000000"/>
          <w:sz w:val="32"/>
          <w:szCs w:val="32"/>
          <w:lang w:val="en-US" w:eastAsia="zh-CN"/>
        </w:rPr>
        <w:t>70</w:t>
      </w:r>
      <w:r>
        <w:rPr>
          <w:rFonts w:hint="eastAsia" w:ascii="仿宋_GB2312" w:eastAsia="仿宋_GB2312"/>
          <w:color w:val="000000"/>
          <w:sz w:val="32"/>
          <w:szCs w:val="32"/>
        </w:rPr>
        <w:t>万元，完成预算的100%。通过项目实施，保障了市人大</w:t>
      </w:r>
      <w:r>
        <w:rPr>
          <w:rFonts w:hint="eastAsia" w:ascii="仿宋_GB2312" w:eastAsia="仿宋_GB2312"/>
          <w:color w:val="000000"/>
          <w:sz w:val="32"/>
          <w:szCs w:val="32"/>
          <w:lang w:eastAsia="zh-CN"/>
        </w:rPr>
        <w:t>及其</w:t>
      </w:r>
      <w:r>
        <w:rPr>
          <w:rFonts w:hint="eastAsia" w:ascii="仿宋_GB2312" w:eastAsia="仿宋_GB2312"/>
          <w:color w:val="000000"/>
          <w:sz w:val="32"/>
          <w:szCs w:val="32"/>
        </w:rPr>
        <w:t>常委会机构正常运转和完成年度任务。</w:t>
      </w:r>
    </w:p>
    <w:tbl>
      <w:tblPr>
        <w:tblStyle w:val="14"/>
        <w:tblpPr w:leftFromText="180" w:rightFromText="180" w:vertAnchor="text" w:horzAnchor="page" w:tblpX="1914" w:tblpY="376"/>
        <w:tblOverlap w:val="never"/>
        <w:tblW w:w="8340" w:type="dxa"/>
        <w:tblInd w:w="0" w:type="dxa"/>
        <w:tblLayout w:type="fixed"/>
        <w:tblCellMar>
          <w:top w:w="0" w:type="dxa"/>
          <w:left w:w="0" w:type="dxa"/>
          <w:bottom w:w="0" w:type="dxa"/>
          <w:right w:w="0" w:type="dxa"/>
        </w:tblCellMar>
      </w:tblPr>
      <w:tblGrid>
        <w:gridCol w:w="525"/>
        <w:gridCol w:w="1232"/>
        <w:gridCol w:w="718"/>
        <w:gridCol w:w="900"/>
        <w:gridCol w:w="2490"/>
        <w:gridCol w:w="2475"/>
      </w:tblGrid>
      <w:tr>
        <w:tblPrEx>
          <w:tblCellMar>
            <w:top w:w="0" w:type="dxa"/>
            <w:left w:w="0" w:type="dxa"/>
            <w:bottom w:w="0" w:type="dxa"/>
            <w:right w:w="0" w:type="dxa"/>
          </w:tblCellMar>
        </w:tblPrEx>
        <w:trPr>
          <w:trHeight w:val="1034" w:hRule="atLeast"/>
        </w:trPr>
        <w:tc>
          <w:tcPr>
            <w:tcW w:w="8340" w:type="dxa"/>
            <w:gridSpan w:val="6"/>
            <w:tcMar>
              <w:top w:w="15" w:type="dxa"/>
              <w:left w:w="15" w:type="dxa"/>
              <w:bottom w:w="0" w:type="dxa"/>
              <w:right w:w="15" w:type="dxa"/>
            </w:tcMar>
            <w:vAlign w:val="center"/>
          </w:tcPr>
          <w:p>
            <w:pPr>
              <w:pStyle w:val="32"/>
              <w:widowControl/>
              <w:ind w:left="4020" w:leftChars="1310" w:hanging="1269" w:hangingChars="395"/>
              <w:textAlignment w:val="center"/>
              <w:rPr>
                <w:rFonts w:ascii="宋体" w:hAnsi="宋体" w:cs="宋体"/>
                <w:color w:val="000000" w:themeColor="text1"/>
                <w:sz w:val="36"/>
                <w:szCs w:val="36"/>
                <w:highlight w:val="red"/>
                <w14:textFill>
                  <w14:solidFill>
                    <w14:schemeClr w14:val="tx1"/>
                  </w14:solidFill>
                </w14:textFill>
              </w:rPr>
            </w:pPr>
            <w:r>
              <w:rPr>
                <w:rFonts w:hint="eastAsia" w:ascii="仿宋_GB2312" w:hAnsi="Times New Roman" w:eastAsia="仿宋_GB2312" w:cs="Times New Roman"/>
                <w:b/>
                <w:bCs/>
                <w:color w:val="000000"/>
                <w:kern w:val="2"/>
                <w:sz w:val="32"/>
                <w:szCs w:val="32"/>
                <w:lang w:val="en-US" w:eastAsia="zh-CN" w:bidi="ar-SA"/>
              </w:rPr>
              <w:t>项目支出绩效目标完成情况表</w:t>
            </w:r>
            <w:r>
              <w:rPr>
                <w:rFonts w:hint="eastAsia" w:ascii="仿宋_GB2312" w:hAnsi="Times New Roman" w:eastAsia="仿宋_GB2312" w:cs="Times New Roman"/>
                <w:b/>
                <w:bCs/>
                <w:color w:val="000000"/>
                <w:kern w:val="2"/>
                <w:sz w:val="32"/>
                <w:szCs w:val="32"/>
                <w:lang w:val="en-US" w:eastAsia="zh-CN" w:bidi="ar-SA"/>
              </w:rPr>
              <w:br w:type="textWrapping"/>
            </w:r>
            <w:r>
              <w:rPr>
                <w:rFonts w:hint="eastAsia" w:ascii="仿宋_GB2312" w:hAnsi="Times New Roman" w:eastAsia="仿宋_GB2312" w:cs="Times New Roman"/>
                <w:b/>
                <w:bCs/>
                <w:color w:val="000000"/>
                <w:kern w:val="2"/>
                <w:sz w:val="32"/>
                <w:szCs w:val="32"/>
                <w:lang w:val="en-US" w:eastAsia="zh-CN" w:bidi="ar-SA"/>
              </w:rPr>
              <w:t>(2020年度)</w:t>
            </w:r>
          </w:p>
        </w:tc>
      </w:tr>
      <w:tr>
        <w:tblPrEx>
          <w:tblCellMar>
            <w:top w:w="0" w:type="dxa"/>
            <w:left w:w="0" w:type="dxa"/>
            <w:bottom w:w="0" w:type="dxa"/>
            <w:right w:w="0" w:type="dxa"/>
          </w:tblCellMar>
        </w:tblPrEx>
        <w:trPr>
          <w:trHeight w:val="276" w:hRule="atLeast"/>
        </w:trPr>
        <w:tc>
          <w:tcPr>
            <w:tcW w:w="247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项目名称</w:t>
            </w:r>
          </w:p>
        </w:tc>
        <w:tc>
          <w:tcPr>
            <w:tcW w:w="586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各专工委室工作经费</w:t>
            </w:r>
          </w:p>
        </w:tc>
      </w:tr>
      <w:tr>
        <w:tblPrEx>
          <w:tblCellMar>
            <w:top w:w="0" w:type="dxa"/>
            <w:left w:w="0" w:type="dxa"/>
            <w:bottom w:w="0" w:type="dxa"/>
            <w:right w:w="0" w:type="dxa"/>
          </w:tblCellMar>
        </w:tblPrEx>
        <w:trPr>
          <w:trHeight w:val="276" w:hRule="atLeast"/>
        </w:trPr>
        <w:tc>
          <w:tcPr>
            <w:tcW w:w="247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预算单位</w:t>
            </w:r>
          </w:p>
        </w:tc>
        <w:tc>
          <w:tcPr>
            <w:tcW w:w="586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遂宁市人大常委会办公室</w:t>
            </w:r>
          </w:p>
        </w:tc>
      </w:tr>
      <w:tr>
        <w:tblPrEx>
          <w:tblCellMar>
            <w:top w:w="0" w:type="dxa"/>
            <w:left w:w="0" w:type="dxa"/>
            <w:bottom w:w="0" w:type="dxa"/>
            <w:right w:w="0" w:type="dxa"/>
          </w:tblCellMar>
        </w:tblPrEx>
        <w:trPr>
          <w:trHeight w:val="276" w:hRule="atLeast"/>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预算执行情况(万元)</w:t>
            </w:r>
          </w:p>
        </w:tc>
        <w:tc>
          <w:tcPr>
            <w:tcW w:w="19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预算数:</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70</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执行数:</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70</w:t>
            </w:r>
          </w:p>
        </w:tc>
      </w:tr>
      <w:tr>
        <w:tblPrEx>
          <w:tblCellMar>
            <w:top w:w="0" w:type="dxa"/>
            <w:left w:w="0" w:type="dxa"/>
            <w:bottom w:w="0" w:type="dxa"/>
            <w:right w:w="0" w:type="dxa"/>
          </w:tblCellMar>
        </w:tblPrEx>
        <w:trPr>
          <w:trHeight w:val="276"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p>
        </w:tc>
        <w:tc>
          <w:tcPr>
            <w:tcW w:w="19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其中-财政拨款:</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70</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其中-财政拨款:</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70</w:t>
            </w:r>
          </w:p>
        </w:tc>
      </w:tr>
      <w:tr>
        <w:tblPrEx>
          <w:tblCellMar>
            <w:top w:w="0" w:type="dxa"/>
            <w:left w:w="0" w:type="dxa"/>
            <w:bottom w:w="0" w:type="dxa"/>
            <w:right w:w="0" w:type="dxa"/>
          </w:tblCellMar>
        </w:tblPrEx>
        <w:trPr>
          <w:trHeight w:val="1511"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p>
        </w:tc>
        <w:tc>
          <w:tcPr>
            <w:tcW w:w="19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其它资金:</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其它资金:</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年度目标完成情况</w:t>
            </w:r>
          </w:p>
        </w:tc>
        <w:tc>
          <w:tcPr>
            <w:tcW w:w="285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预期目标</w:t>
            </w:r>
          </w:p>
        </w:tc>
        <w:tc>
          <w:tcPr>
            <w:tcW w:w="496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实际完成目标</w:t>
            </w:r>
          </w:p>
        </w:tc>
      </w:tr>
      <w:tr>
        <w:tblPrEx>
          <w:tblCellMar>
            <w:top w:w="0" w:type="dxa"/>
            <w:left w:w="0" w:type="dxa"/>
            <w:bottom w:w="0" w:type="dxa"/>
            <w:right w:w="0" w:type="dxa"/>
          </w:tblCellMar>
        </w:tblPrEx>
        <w:trPr>
          <w:trHeight w:val="1159"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p>
        </w:tc>
        <w:tc>
          <w:tcPr>
            <w:tcW w:w="285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根据年度工作计划要求，各专工委室开展好各类议题调研工作。</w:t>
            </w:r>
          </w:p>
        </w:tc>
        <w:tc>
          <w:tcPr>
            <w:tcW w:w="496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积极开展各项议题调研工作，确保调研工作圆满完成。</w:t>
            </w:r>
          </w:p>
        </w:tc>
      </w:tr>
      <w:tr>
        <w:tblPrEx>
          <w:tblCellMar>
            <w:top w:w="0" w:type="dxa"/>
            <w:left w:w="0" w:type="dxa"/>
            <w:bottom w:w="0" w:type="dxa"/>
            <w:right w:w="0" w:type="dxa"/>
          </w:tblCellMar>
        </w:tblPrEx>
        <w:trPr>
          <w:trHeight w:val="1042" w:hRule="atLeast"/>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一级指标</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二级指标</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三级指标</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预期指标值(包含数字及文字描述)</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实际完成指标值(包含数字及文字描述)</w:t>
            </w:r>
          </w:p>
        </w:tc>
      </w:tr>
      <w:tr>
        <w:tblPrEx>
          <w:tblCellMar>
            <w:top w:w="0" w:type="dxa"/>
            <w:left w:w="0" w:type="dxa"/>
            <w:bottom w:w="0" w:type="dxa"/>
            <w:right w:w="0" w:type="dxa"/>
          </w:tblCellMar>
        </w:tblPrEx>
        <w:trPr>
          <w:trHeight w:val="1042"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项目完成指标</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调研次数</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调研次数60次以上</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调研次数60次以上</w:t>
            </w:r>
          </w:p>
        </w:tc>
      </w:tr>
      <w:tr>
        <w:tblPrEx>
          <w:tblCellMar>
            <w:top w:w="0" w:type="dxa"/>
            <w:left w:w="0" w:type="dxa"/>
            <w:bottom w:w="0" w:type="dxa"/>
            <w:right w:w="0" w:type="dxa"/>
          </w:tblCellMar>
        </w:tblPrEx>
        <w:trPr>
          <w:trHeight w:val="1042"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项目完成指标</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提交</w:t>
            </w:r>
          </w:p>
          <w:p>
            <w:pPr>
              <w:widowControl/>
              <w:jc w:val="center"/>
              <w:textAlignment w:val="center"/>
              <w:rPr>
                <w:rFonts w:ascii="宋体" w:cs="宋体"/>
                <w:color w:val="000000"/>
                <w:sz w:val="24"/>
              </w:rPr>
            </w:pPr>
            <w:r>
              <w:rPr>
                <w:rFonts w:hint="eastAsia" w:ascii="宋体" w:cs="宋体"/>
                <w:color w:val="000000"/>
                <w:sz w:val="24"/>
              </w:rPr>
              <w:t>议题</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提交常委会议题</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高质量准时完成议题报告</w:t>
            </w:r>
          </w:p>
        </w:tc>
      </w:tr>
      <w:tr>
        <w:tblPrEx>
          <w:tblCellMar>
            <w:top w:w="0" w:type="dxa"/>
            <w:left w:w="0" w:type="dxa"/>
            <w:bottom w:w="0" w:type="dxa"/>
            <w:right w:w="0" w:type="dxa"/>
          </w:tblCellMar>
        </w:tblPrEx>
        <w:trPr>
          <w:trHeight w:val="1042"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项目完成指标</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完成时间</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2019年12月底前</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圆满完成</w:t>
            </w:r>
          </w:p>
        </w:tc>
      </w:tr>
      <w:tr>
        <w:tblPrEx>
          <w:tblCellMar>
            <w:top w:w="0" w:type="dxa"/>
            <w:left w:w="0" w:type="dxa"/>
            <w:bottom w:w="0" w:type="dxa"/>
            <w:right w:w="0" w:type="dxa"/>
          </w:tblCellMar>
        </w:tblPrEx>
        <w:trPr>
          <w:trHeight w:val="1297"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项目效益指标</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促进经济发展</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加快促进遂宁经济绿色高效发展</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加快促进遂宁经济绿色高效发展</w:t>
            </w:r>
          </w:p>
        </w:tc>
      </w:tr>
      <w:tr>
        <w:tblPrEx>
          <w:tblCellMar>
            <w:top w:w="0" w:type="dxa"/>
            <w:left w:w="0" w:type="dxa"/>
            <w:bottom w:w="0" w:type="dxa"/>
            <w:right w:w="0" w:type="dxa"/>
          </w:tblCellMar>
        </w:tblPrEx>
        <w:trPr>
          <w:trHeight w:val="1297" w:hRule="atLeast"/>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项目效益</w:t>
            </w:r>
          </w:p>
          <w:p>
            <w:pPr>
              <w:widowControl/>
              <w:jc w:val="center"/>
              <w:textAlignment w:val="center"/>
              <w:rPr>
                <w:rFonts w:ascii="宋体" w:cs="宋体"/>
                <w:color w:val="000000"/>
                <w:sz w:val="24"/>
              </w:rPr>
            </w:pPr>
            <w:r>
              <w:rPr>
                <w:rFonts w:hint="eastAsia" w:ascii="宋体" w:cs="宋体"/>
                <w:color w:val="000000"/>
                <w:sz w:val="24"/>
              </w:rPr>
              <w:t>指标</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关注民生</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关注民生</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为民生保障提供有力支撑</w:t>
            </w:r>
          </w:p>
        </w:tc>
      </w:tr>
      <w:tr>
        <w:tblPrEx>
          <w:tblCellMar>
            <w:top w:w="0" w:type="dxa"/>
            <w:left w:w="0" w:type="dxa"/>
            <w:bottom w:w="0" w:type="dxa"/>
            <w:right w:w="0" w:type="dxa"/>
          </w:tblCellMar>
        </w:tblPrEx>
        <w:trPr>
          <w:trHeight w:val="1297" w:hRule="atLeast"/>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群众满意度</w:t>
            </w:r>
          </w:p>
        </w:tc>
        <w:tc>
          <w:tcPr>
            <w:tcW w:w="24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群众满意度95%以上</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群众满意度95%以上</w:t>
            </w:r>
          </w:p>
        </w:tc>
      </w:tr>
    </w:tbl>
    <w:p>
      <w:pPr>
        <w:widowControl/>
        <w:jc w:val="center"/>
        <w:textAlignment w:val="center"/>
        <w:rPr>
          <w:rFonts w:ascii="宋体" w:cs="宋体"/>
          <w:color w:val="000000"/>
          <w:sz w:val="24"/>
        </w:rPr>
      </w:pPr>
    </w:p>
    <w:p>
      <w:pPr>
        <w:numPr>
          <w:ilvl w:val="0"/>
          <w:numId w:val="0"/>
        </w:numPr>
        <w:spacing w:line="580" w:lineRule="exact"/>
        <w:ind w:firstLine="640" w:firstLineChars="200"/>
        <w:rPr>
          <w:rFonts w:ascii="仿宋_GB2312" w:hAnsi="仿宋_GB2312" w:eastAsia="仿宋_GB2312" w:cs="仿宋_GB2312"/>
          <w:sz w:val="32"/>
          <w:szCs w:val="32"/>
          <w:highlight w:val="red"/>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预算专家咨询库项目绩效目标完成情况综述。项目全年预算数</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万元，执行数为</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万元，完成预算的100%。通过项目实施，提高财政资金有效运行，发现的主要问题：预算编制不够精确。下一步改进措施：科学统筹，精准编制项目支出。</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预算咨询专家库专项经费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遂宁市人大常委会办公室</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8</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8</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根据年初任务要求，开展好预算、决算专项审查工作</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根据年初任务要求，开展好预算、决算专项审查工作，确保任务圆满完成</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全年开展预算、决算专项审查工作次数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全年审查总预算、总决算及14个部门（单位）预算决算工作</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全年完成总预算、总决算及21个部门（单位）预算、23个部门（单位）决算的审查工作</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项目完成时间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2020年12月底前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2020年11月前已完成全部审查工作</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做好预算、决算审查工作，为市人代会批准2019年预算、市人大常委会批准2019年决算做好前期准备工作</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通过审查预算，进一步提高预算编制科学性；通过审查决算，全面加强全口径预决算管理与监督</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通过审查预算，进一步提高预算编制科学性；通过审查决算，全面加强全口径预决算管理与监督</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通过预算审查，进一步促进各单位编制预算更加科学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有效避免一些不合理的预算编制，为人代会批准预算提供参考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有效避免一些不合理的预算编制，完成为人代会批准预算提供参考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财政使用情况更加公开透明化</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通过决算审查，让每笔</w:t>
            </w:r>
            <w:r>
              <w:rPr>
                <w:rFonts w:hint="eastAsia" w:ascii="宋体" w:cs="宋体"/>
                <w:color w:val="000000"/>
                <w:sz w:val="24"/>
                <w:lang w:eastAsia="zh-CN"/>
              </w:rPr>
              <w:t>资金</w:t>
            </w:r>
            <w:r>
              <w:rPr>
                <w:rFonts w:hint="eastAsia" w:ascii="宋体" w:cs="宋体"/>
                <w:color w:val="000000"/>
                <w:sz w:val="24"/>
              </w:rPr>
              <w:t>的使用情况更加清晰，为常委会批准决算做好准备工作</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通过决算审查，让每笔钱的使用情况更加清晰，为常委会批准决算做好准备工作</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群众满意度95%以上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群众满意度100%</w:t>
            </w:r>
          </w:p>
        </w:tc>
      </w:tr>
    </w:tbl>
    <w:p>
      <w:pPr>
        <w:pStyle w:val="2"/>
      </w:pPr>
    </w:p>
    <w:p>
      <w:pPr>
        <w:numPr>
          <w:ilvl w:val="0"/>
          <w:numId w:val="0"/>
        </w:num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）市七届人大六次会</w:t>
      </w:r>
      <w:r>
        <w:rPr>
          <w:rFonts w:hint="eastAsia" w:ascii="仿宋_GB2312" w:eastAsia="仿宋_GB2312"/>
          <w:color w:val="000000"/>
          <w:sz w:val="32"/>
          <w:szCs w:val="32"/>
        </w:rPr>
        <w:t>项目绩效目标完成情况综述。项目全年预算数</w:t>
      </w:r>
      <w:r>
        <w:rPr>
          <w:rFonts w:hint="eastAsia" w:ascii="仿宋_GB2312" w:eastAsia="仿宋_GB2312"/>
          <w:color w:val="000000"/>
          <w:sz w:val="32"/>
          <w:szCs w:val="32"/>
          <w:lang w:val="en-US" w:eastAsia="zh-CN"/>
        </w:rPr>
        <w:t>137.10</w:t>
      </w:r>
      <w:r>
        <w:rPr>
          <w:rFonts w:hint="eastAsia" w:ascii="仿宋_GB2312" w:eastAsia="仿宋_GB2312"/>
          <w:color w:val="000000"/>
          <w:sz w:val="32"/>
          <w:szCs w:val="32"/>
        </w:rPr>
        <w:t>万元，执行数为</w:t>
      </w:r>
      <w:r>
        <w:rPr>
          <w:rFonts w:hint="eastAsia" w:ascii="仿宋_GB2312" w:eastAsia="仿宋_GB2312"/>
          <w:color w:val="000000"/>
          <w:sz w:val="32"/>
          <w:szCs w:val="32"/>
          <w:lang w:val="en-US" w:eastAsia="zh-CN"/>
        </w:rPr>
        <w:t>137.10</w:t>
      </w:r>
      <w:r>
        <w:rPr>
          <w:rFonts w:hint="eastAsia" w:ascii="仿宋_GB2312" w:eastAsia="仿宋_GB2312"/>
          <w:color w:val="000000"/>
          <w:sz w:val="32"/>
          <w:szCs w:val="32"/>
        </w:rPr>
        <w:t>万元，完成预算的100%。通过项目实施，保障</w:t>
      </w:r>
      <w:r>
        <w:rPr>
          <w:rFonts w:hint="eastAsia" w:ascii="仿宋_GB2312" w:eastAsia="仿宋_GB2312"/>
          <w:color w:val="000000"/>
          <w:sz w:val="32"/>
          <w:szCs w:val="32"/>
          <w:lang w:eastAsia="zh-CN"/>
        </w:rPr>
        <w:t>了市七届人大六次会议顺利举行</w:t>
      </w:r>
      <w:r>
        <w:rPr>
          <w:rFonts w:hint="eastAsia" w:ascii="仿宋_GB2312" w:eastAsia="仿宋_GB2312"/>
          <w:color w:val="000000"/>
          <w:sz w:val="32"/>
          <w:szCs w:val="32"/>
        </w:rPr>
        <w:t>。</w:t>
      </w:r>
    </w:p>
    <w:p>
      <w:pPr>
        <w:numPr>
          <w:ilvl w:val="0"/>
          <w:numId w:val="0"/>
        </w:numPr>
        <w:spacing w:line="580" w:lineRule="exact"/>
        <w:ind w:firstLine="640" w:firstLineChars="200"/>
        <w:rPr>
          <w:rFonts w:hint="eastAsia" w:ascii="仿宋_GB2312" w:eastAsia="仿宋_GB2312"/>
          <w:color w:val="000000"/>
          <w:sz w:val="32"/>
          <w:szCs w:val="32"/>
        </w:rPr>
      </w:pP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sz w:val="32"/>
                <w:szCs w:val="32"/>
                <w:lang w:val="en-US" w:eastAsia="zh-CN"/>
              </w:rPr>
              <w:t>市七届</w:t>
            </w:r>
            <w:r>
              <w:rPr>
                <w:rFonts w:hint="eastAsia" w:ascii="仿宋_GB2312" w:hAnsi="仿宋_GB2312" w:cs="仿宋_GB2312"/>
                <w:b w:val="0"/>
                <w:bCs/>
                <w:sz w:val="32"/>
                <w:szCs w:val="32"/>
                <w:lang w:val="en-US" w:eastAsia="zh-CN"/>
              </w:rPr>
              <w:t>人大六次会议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遂宁市人大常委会办公室</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137.10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137.10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137.10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137.10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val="0"/>
              <w:numPr>
                <w:ilvl w:val="0"/>
                <w:numId w:val="0"/>
              </w:numPr>
              <w:spacing w:line="600" w:lineRule="exact"/>
              <w:ind w:firstLine="480" w:firstLineChars="200"/>
              <w:rPr>
                <w:rFonts w:ascii="宋体" w:cs="宋体"/>
                <w:color w:val="000000"/>
                <w:sz w:val="24"/>
              </w:rPr>
            </w:pPr>
            <w:r>
              <w:rPr>
                <w:rFonts w:hint="eastAsia" w:ascii="宋体" w:cs="宋体"/>
                <w:color w:val="000000"/>
                <w:sz w:val="24"/>
                <w:lang w:val="en-US" w:eastAsia="zh-CN"/>
              </w:rPr>
              <w:t>完成各项会议议程</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eastAsia="宋体" w:cs="宋体"/>
                <w:color w:val="000000"/>
                <w:sz w:val="24"/>
                <w:lang w:eastAsia="zh-CN"/>
              </w:rPr>
            </w:pPr>
            <w:r>
              <w:rPr>
                <w:rFonts w:hint="eastAsia" w:ascii="宋体" w:cs="宋体"/>
                <w:color w:val="000000"/>
                <w:sz w:val="24"/>
                <w:lang w:eastAsia="zh-CN"/>
              </w:rPr>
              <w:t>大会顺利举行，圆满完成各项会议议程</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会议次数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1次</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1次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时间指标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会议完成时间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2月底前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default" w:ascii="宋体" w:eastAsia="宋体" w:cs="宋体"/>
                <w:color w:val="000000"/>
                <w:sz w:val="24"/>
                <w:lang w:val="en-US" w:eastAsia="zh-CN"/>
              </w:rPr>
            </w:pPr>
            <w:r>
              <w:rPr>
                <w:rFonts w:hint="eastAsia" w:ascii="宋体" w:cs="宋体"/>
                <w:color w:val="000000"/>
                <w:sz w:val="24"/>
                <w:lang w:val="en-US" w:eastAsia="zh-CN"/>
              </w:rPr>
              <w:t>2020年2月20日前完成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完成各项会议议程</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完成各项会议议程</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eastAsia="zh-CN"/>
              </w:rPr>
              <w:t>完成</w:t>
            </w:r>
            <w:r>
              <w:rPr>
                <w:rFonts w:hint="eastAsia" w:ascii="宋体" w:cs="宋体"/>
                <w:color w:val="000000"/>
                <w:sz w:val="24"/>
                <w:lang w:val="en-US" w:eastAsia="zh-CN"/>
              </w:rPr>
              <w:t>7项会议议程</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ascii="宋体" w:hAnsi="宋体" w:eastAsia="宋体" w:cs="宋体"/>
                <w:sz w:val="24"/>
                <w:szCs w:val="24"/>
              </w:rPr>
              <w:t>促进经济社会发展</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ascii="宋体" w:hAnsi="宋体" w:eastAsia="宋体" w:cs="宋体"/>
                <w:sz w:val="24"/>
                <w:szCs w:val="24"/>
              </w:rPr>
              <w:t>促进经济社会发展</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ascii="宋体" w:hAnsi="宋体" w:eastAsia="宋体" w:cs="宋体"/>
                <w:sz w:val="24"/>
                <w:szCs w:val="24"/>
              </w:rPr>
              <w:t>促进经济社会发展</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群众满意度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ascii="宋体" w:hAnsi="宋体" w:eastAsia="宋体" w:cs="宋体"/>
                <w:sz w:val="24"/>
                <w:szCs w:val="24"/>
              </w:rPr>
              <w:t>≥</w:t>
            </w:r>
            <w:r>
              <w:rPr>
                <w:rFonts w:hint="eastAsia" w:ascii="宋体" w:cs="宋体"/>
                <w:color w:val="000000"/>
                <w:sz w:val="24"/>
                <w:lang w:val="en-US" w:eastAsia="zh-CN"/>
              </w:rPr>
              <w:t>90%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95%</w:t>
            </w:r>
          </w:p>
        </w:tc>
      </w:tr>
    </w:tbl>
    <w:p>
      <w:pPr>
        <w:spacing w:line="580" w:lineRule="exact"/>
        <w:ind w:firstLine="640" w:firstLineChars="200"/>
        <w:rPr>
          <w:rFonts w:hint="eastAsia" w:ascii="仿宋_GB2312" w:hAnsi="仿宋_GB2312" w:eastAsia="仿宋_GB2312" w:cs="仿宋_GB2312"/>
          <w:sz w:val="32"/>
          <w:szCs w:val="32"/>
          <w:highlight w:val="red"/>
        </w:rPr>
      </w:pPr>
    </w:p>
    <w:p>
      <w:pPr>
        <w:numPr>
          <w:ilvl w:val="0"/>
          <w:numId w:val="3"/>
        </w:numPr>
        <w:spacing w:line="58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地方立法专项工作项目绩效目标完成情况综述。项目全年预算数18万元，执行数为18万元，完成预算的100%。通过项目实施，保障了立法工作的正常开展。</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地方立法专项工作经费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eastAsia="宋体" w:cs="宋体"/>
                <w:color w:val="000000"/>
                <w:sz w:val="24"/>
                <w:lang w:eastAsia="zh-CN"/>
              </w:rPr>
            </w:pPr>
            <w:r>
              <w:rPr>
                <w:rFonts w:hint="eastAsia" w:ascii="宋体" w:hAnsi="宋体" w:eastAsia="宋体" w:cs="宋体"/>
                <w:i w:val="0"/>
                <w:caps w:val="0"/>
                <w:color w:val="333333"/>
                <w:spacing w:val="0"/>
                <w:sz w:val="24"/>
                <w:szCs w:val="24"/>
                <w:lang w:eastAsia="zh-CN"/>
              </w:rPr>
              <w:t>遂宁</w:t>
            </w:r>
            <w:r>
              <w:rPr>
                <w:rFonts w:hint="eastAsia" w:ascii="宋体" w:hAnsi="宋体" w:eastAsia="宋体" w:cs="宋体"/>
                <w:i w:val="0"/>
                <w:caps w:val="0"/>
                <w:color w:val="333333"/>
                <w:spacing w:val="0"/>
                <w:sz w:val="24"/>
                <w:szCs w:val="24"/>
              </w:rPr>
              <w:t>市人大常委会机</w:t>
            </w:r>
            <w:r>
              <w:rPr>
                <w:rFonts w:hint="eastAsia" w:ascii="宋体" w:hAnsi="宋体" w:eastAsia="宋体" w:cs="宋体"/>
                <w:i w:val="0"/>
                <w:caps w:val="0"/>
                <w:color w:val="333333"/>
                <w:spacing w:val="0"/>
                <w:sz w:val="24"/>
                <w:szCs w:val="24"/>
                <w:lang w:eastAsia="zh-CN"/>
              </w:rPr>
              <w:t>关</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18</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18</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eastAsia="宋体" w:cs="宋体"/>
                <w:color w:val="000000"/>
                <w:sz w:val="24"/>
                <w:lang w:val="en-US" w:eastAsia="zh-CN"/>
              </w:rPr>
            </w:pPr>
            <w:r>
              <w:rPr>
                <w:rFonts w:hint="eastAsia" w:asci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firstLine="420"/>
              <w:jc w:val="left"/>
              <w:rPr>
                <w:rFonts w:hint="eastAsia" w:eastAsia="宋体"/>
                <w:kern w:val="0"/>
                <w:sz w:val="21"/>
                <w:szCs w:val="21"/>
                <w:lang w:eastAsia="zh-CN"/>
              </w:rPr>
            </w:pPr>
            <w:r>
              <w:rPr>
                <w:rFonts w:hint="eastAsia" w:eastAsia="宋体"/>
                <w:kern w:val="0"/>
                <w:sz w:val="21"/>
                <w:szCs w:val="21"/>
                <w:lang w:val="en-US" w:eastAsia="zh-CN"/>
              </w:rPr>
              <w:t>1.</w:t>
            </w:r>
            <w:r>
              <w:rPr>
                <w:rFonts w:hint="eastAsia" w:eastAsia="宋体"/>
                <w:kern w:val="0"/>
                <w:sz w:val="21"/>
                <w:szCs w:val="21"/>
                <w:lang w:eastAsia="zh-CN"/>
              </w:rPr>
              <w:t>开展</w:t>
            </w:r>
            <w:r>
              <w:rPr>
                <w:rFonts w:hint="eastAsia" w:eastAsia="宋体"/>
                <w:kern w:val="0"/>
                <w:sz w:val="21"/>
                <w:szCs w:val="21"/>
                <w:lang w:val="en-US" w:eastAsia="zh-CN"/>
              </w:rPr>
              <w:t>2020年立法调研项目的调研和指导草案起草等相关工作，高质量</w:t>
            </w:r>
            <w:r>
              <w:rPr>
                <w:rFonts w:hint="eastAsia" w:eastAsia="宋体"/>
                <w:kern w:val="0"/>
                <w:sz w:val="21"/>
                <w:szCs w:val="21"/>
              </w:rPr>
              <w:t>完成《遂宁市</w:t>
            </w:r>
            <w:r>
              <w:rPr>
                <w:rFonts w:hint="eastAsia" w:eastAsia="宋体"/>
                <w:kern w:val="0"/>
                <w:sz w:val="21"/>
                <w:szCs w:val="21"/>
                <w:lang w:eastAsia="zh-CN"/>
              </w:rPr>
              <w:t>文明行为促进</w:t>
            </w:r>
            <w:r>
              <w:rPr>
                <w:rFonts w:hint="eastAsia" w:eastAsia="宋体"/>
                <w:kern w:val="0"/>
                <w:sz w:val="21"/>
                <w:szCs w:val="21"/>
              </w:rPr>
              <w:t>条例》立法审议服务工作，</w:t>
            </w:r>
            <w:r>
              <w:rPr>
                <w:rFonts w:hint="eastAsia" w:eastAsia="宋体"/>
                <w:kern w:val="0"/>
                <w:sz w:val="21"/>
                <w:szCs w:val="21"/>
                <w:lang w:eastAsia="zh-CN"/>
              </w:rPr>
              <w:t>巩固文明城市创建成果、提升市民文明素质、弘扬社会主义核心价值观；</w:t>
            </w:r>
          </w:p>
          <w:p>
            <w:pPr>
              <w:widowControl/>
              <w:jc w:val="center"/>
              <w:textAlignment w:val="center"/>
              <w:rPr>
                <w:rFonts w:ascii="宋体" w:cs="宋体"/>
                <w:color w:val="000000"/>
                <w:sz w:val="24"/>
              </w:rPr>
            </w:pPr>
            <w:r>
              <w:rPr>
                <w:rFonts w:hint="eastAsia" w:eastAsia="宋体"/>
                <w:kern w:val="0"/>
                <w:sz w:val="21"/>
                <w:szCs w:val="21"/>
                <w:lang w:val="en-US" w:eastAsia="zh-CN"/>
              </w:rPr>
              <w:t>2.规范政府规章</w:t>
            </w:r>
            <w:r>
              <w:rPr>
                <w:rFonts w:hint="eastAsia" w:eastAsia="宋体"/>
                <w:kern w:val="0"/>
                <w:sz w:val="21"/>
                <w:szCs w:val="21"/>
              </w:rPr>
              <w:t>以及其他规范性文件备案审查</w:t>
            </w:r>
            <w:r>
              <w:rPr>
                <w:rFonts w:hint="eastAsia" w:eastAsia="宋体"/>
                <w:kern w:val="0"/>
                <w:sz w:val="21"/>
                <w:szCs w:val="21"/>
                <w:lang w:eastAsia="zh-CN"/>
              </w:rPr>
              <w:t>工作。</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ind w:firstLine="420"/>
              <w:jc w:val="left"/>
              <w:rPr>
                <w:rFonts w:hint="eastAsia" w:eastAsia="宋体"/>
                <w:kern w:val="0"/>
                <w:sz w:val="21"/>
                <w:szCs w:val="21"/>
                <w:lang w:val="en-US" w:eastAsia="zh-CN"/>
              </w:rPr>
            </w:pPr>
            <w:r>
              <w:rPr>
                <w:rFonts w:hint="eastAsia" w:ascii="宋体" w:hAnsi="宋体" w:eastAsia="宋体" w:cs="宋体"/>
                <w:i w:val="0"/>
                <w:caps w:val="0"/>
                <w:color w:val="333333"/>
                <w:spacing w:val="0"/>
                <w:sz w:val="24"/>
                <w:szCs w:val="24"/>
                <w:lang w:val="en-US" w:eastAsia="zh-CN"/>
              </w:rPr>
              <w:t>1</w:t>
            </w:r>
            <w:r>
              <w:rPr>
                <w:rFonts w:hint="eastAsia" w:eastAsia="宋体"/>
                <w:kern w:val="0"/>
                <w:sz w:val="21"/>
                <w:szCs w:val="21"/>
                <w:lang w:val="en-US" w:eastAsia="zh-CN"/>
              </w:rPr>
              <w:t>.保障市人大立法经费需要，即审议《遂宁市文明行为促进条例》，开展《遂宁市海绵城市建设管理条例》立法项目调研，经费主要用于立法考察学习、调研座谈、论证、听证、评议、专家评审、公告宣传等。</w:t>
            </w:r>
          </w:p>
          <w:p>
            <w:pPr>
              <w:widowControl/>
              <w:spacing w:line="280" w:lineRule="exact"/>
              <w:ind w:firstLine="420"/>
              <w:jc w:val="left"/>
              <w:rPr>
                <w:rFonts w:hint="default" w:ascii="宋体" w:hAnsi="宋体" w:eastAsia="宋体" w:cs="宋体"/>
                <w:i w:val="0"/>
                <w:caps w:val="0"/>
                <w:color w:val="333333"/>
                <w:spacing w:val="0"/>
                <w:sz w:val="24"/>
                <w:szCs w:val="24"/>
                <w:lang w:val="en-US" w:eastAsia="zh-CN"/>
              </w:rPr>
            </w:pPr>
            <w:r>
              <w:rPr>
                <w:rFonts w:hint="eastAsia" w:eastAsia="宋体"/>
                <w:kern w:val="0"/>
                <w:sz w:val="21"/>
                <w:szCs w:val="21"/>
                <w:lang w:val="en-US" w:eastAsia="zh-CN"/>
              </w:rPr>
              <w:t>2.保障市级规范政府规章以及其他规范性文件备案审查平台运行，确保备案审查工作正常运行。</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eastAsia="宋体"/>
                <w:kern w:val="0"/>
                <w:sz w:val="21"/>
                <w:szCs w:val="21"/>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eastAsia="宋体"/>
                <w:kern w:val="0"/>
                <w:sz w:val="21"/>
                <w:szCs w:val="21"/>
              </w:rPr>
              <w:t>立法调研</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eastAsia="宋体"/>
                <w:kern w:val="0"/>
                <w:sz w:val="18"/>
                <w:szCs w:val="18"/>
              </w:rPr>
              <w:t>省内、省外调研</w:t>
            </w:r>
            <w:r>
              <w:rPr>
                <w:rFonts w:hint="eastAsia" w:eastAsia="宋体"/>
                <w:kern w:val="0"/>
                <w:sz w:val="18"/>
                <w:szCs w:val="18"/>
                <w:lang w:val="en-US" w:eastAsia="zh-CN"/>
              </w:rPr>
              <w:t>2</w:t>
            </w:r>
            <w:r>
              <w:rPr>
                <w:rFonts w:hint="eastAsia" w:eastAsia="宋体"/>
                <w:kern w:val="0"/>
                <w:sz w:val="18"/>
                <w:szCs w:val="18"/>
              </w:rPr>
              <w:t>次以上。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完成。</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eastAsia="宋体"/>
                <w:kern w:val="0"/>
                <w:sz w:val="21"/>
                <w:szCs w:val="21"/>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eastAsia="宋体"/>
                <w:kern w:val="0"/>
                <w:sz w:val="21"/>
                <w:szCs w:val="21"/>
              </w:rPr>
              <w:t>条例草案征求意见</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eastAsia="宋体"/>
                <w:kern w:val="0"/>
                <w:sz w:val="18"/>
                <w:szCs w:val="18"/>
              </w:rPr>
              <w:t>多种形式广泛征求（200人以上）社会有关方面的意见。</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eastAsia="宋体"/>
                <w:kern w:val="0"/>
                <w:sz w:val="21"/>
                <w:szCs w:val="21"/>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eastAsia="宋体"/>
                <w:kern w:val="0"/>
                <w:sz w:val="21"/>
                <w:szCs w:val="21"/>
              </w:rPr>
              <w:t>地方立法专家论证</w:t>
            </w:r>
            <w:r>
              <w:rPr>
                <w:rFonts w:hint="eastAsia" w:eastAsia="宋体"/>
                <w:kern w:val="0"/>
                <w:sz w:val="21"/>
                <w:szCs w:val="21"/>
                <w:lang w:eastAsia="zh-CN"/>
              </w:rPr>
              <w:t>咨询</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eastAsia="宋体"/>
                <w:kern w:val="0"/>
                <w:sz w:val="18"/>
                <w:szCs w:val="18"/>
              </w:rPr>
              <w:t>对条例草案中专业性较强的内容进行可行性</w:t>
            </w:r>
            <w:r>
              <w:rPr>
                <w:rFonts w:hint="eastAsia" w:eastAsia="宋体"/>
                <w:kern w:val="0"/>
                <w:sz w:val="18"/>
                <w:szCs w:val="18"/>
                <w:lang w:eastAsia="zh-CN"/>
              </w:rPr>
              <w:t>、</w:t>
            </w:r>
            <w:r>
              <w:rPr>
                <w:rFonts w:hint="eastAsia" w:eastAsia="宋体"/>
                <w:kern w:val="0"/>
                <w:sz w:val="18"/>
                <w:szCs w:val="18"/>
              </w:rPr>
              <w:t>合法性论证。</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eastAsia="宋体"/>
                <w:kern w:val="0"/>
                <w:sz w:val="21"/>
                <w:szCs w:val="21"/>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eastAsia="宋体"/>
                <w:kern w:val="0"/>
                <w:sz w:val="21"/>
                <w:szCs w:val="21"/>
              </w:rPr>
              <w:t>表决前，向省人大法制委、常委会法工委征询意见</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eastAsia="宋体"/>
                <w:kern w:val="0"/>
                <w:sz w:val="18"/>
                <w:szCs w:val="18"/>
              </w:rPr>
              <w:t>省人大法制委、常委会法工委对条例合法性进行把关。</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eastAsia="宋体"/>
                <w:kern w:val="0"/>
                <w:sz w:val="21"/>
                <w:szCs w:val="21"/>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eastAsia="宋体"/>
                <w:kern w:val="0"/>
                <w:sz w:val="21"/>
                <w:szCs w:val="21"/>
              </w:rPr>
              <w:t>报请省人大常委会批准</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b/>
                <w:bCs/>
                <w:color w:val="000000"/>
                <w:sz w:val="24"/>
              </w:rPr>
            </w:pPr>
            <w:r>
              <w:rPr>
                <w:rFonts w:hint="eastAsia" w:eastAsia="宋体"/>
                <w:kern w:val="0"/>
                <w:sz w:val="18"/>
                <w:szCs w:val="18"/>
              </w:rPr>
              <w:t>省人大常委会批准条例。</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eastAsia="宋体"/>
                <w:kern w:val="0"/>
                <w:sz w:val="21"/>
                <w:szCs w:val="21"/>
                <w:lang w:eastAsia="zh-CN"/>
              </w:rPr>
              <w:t>时效</w:t>
            </w:r>
            <w:r>
              <w:rPr>
                <w:rFonts w:eastAsia="宋体"/>
                <w:kern w:val="0"/>
                <w:sz w:val="21"/>
                <w:szCs w:val="21"/>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eastAsia="宋体" w:cs="宋体"/>
                <w:color w:val="000000"/>
                <w:sz w:val="24"/>
                <w:lang w:eastAsia="zh-CN"/>
              </w:rPr>
            </w:pPr>
            <w:r>
              <w:rPr>
                <w:rFonts w:hint="eastAsia" w:eastAsia="宋体"/>
                <w:kern w:val="0"/>
                <w:sz w:val="21"/>
                <w:szCs w:val="21"/>
              </w:rPr>
              <w:t>对地方立法基层联系点进行业务指导</w:t>
            </w:r>
            <w:r>
              <w:rPr>
                <w:rFonts w:hint="eastAsia" w:eastAsia="宋体"/>
                <w:kern w:val="0"/>
                <w:sz w:val="21"/>
                <w:szCs w:val="21"/>
                <w:lang w:eastAsia="zh-CN"/>
              </w:rPr>
              <w:t>。</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24"/>
              </w:rPr>
            </w:pPr>
            <w:r>
              <w:rPr>
                <w:rFonts w:hint="eastAsia" w:eastAsia="宋体"/>
                <w:kern w:val="0"/>
                <w:sz w:val="18"/>
                <w:szCs w:val="18"/>
              </w:rPr>
              <w:t>20</w:t>
            </w:r>
            <w:r>
              <w:rPr>
                <w:rFonts w:hint="eastAsia" w:eastAsia="宋体"/>
                <w:kern w:val="0"/>
                <w:sz w:val="18"/>
                <w:szCs w:val="18"/>
                <w:lang w:val="en-US" w:eastAsia="zh-CN"/>
              </w:rPr>
              <w:t>20</w:t>
            </w:r>
            <w:r>
              <w:rPr>
                <w:rFonts w:hint="eastAsia" w:eastAsia="宋体"/>
                <w:kern w:val="0"/>
                <w:sz w:val="18"/>
                <w:szCs w:val="18"/>
              </w:rPr>
              <w:t>年底前</w:t>
            </w:r>
            <w:r>
              <w:rPr>
                <w:rFonts w:hint="eastAsia" w:eastAsia="宋体"/>
                <w:kern w:val="0"/>
                <w:sz w:val="18"/>
                <w:szCs w:val="18"/>
                <w:lang w:eastAsia="zh-CN"/>
              </w:rPr>
              <w:t>完成对基层立法联系点工作指导</w:t>
            </w:r>
            <w:r>
              <w:rPr>
                <w:rFonts w:hint="eastAsia" w:eastAsia="宋体"/>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eastAsia="宋体"/>
                <w:kern w:val="0"/>
                <w:sz w:val="21"/>
                <w:szCs w:val="21"/>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eastAsia="宋体"/>
                <w:kern w:val="0"/>
                <w:sz w:val="21"/>
                <w:szCs w:val="21"/>
                <w:lang w:eastAsia="zh-CN"/>
              </w:rPr>
              <w:t>购买</w:t>
            </w:r>
            <w:r>
              <w:rPr>
                <w:rFonts w:hint="eastAsia" w:eastAsia="宋体"/>
                <w:kern w:val="0"/>
                <w:sz w:val="21"/>
                <w:szCs w:val="21"/>
              </w:rPr>
              <w:t>政府规章以及其他规范性文件备案审查信息平台（市级）云服务</w:t>
            </w:r>
            <w:r>
              <w:rPr>
                <w:rFonts w:hint="eastAsia" w:eastAsia="宋体"/>
                <w:kern w:val="0"/>
                <w:sz w:val="21"/>
                <w:szCs w:val="21"/>
                <w:lang w:eastAsia="zh-CN"/>
              </w:rPr>
              <w:t>费用。</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eastAsia="宋体"/>
                <w:kern w:val="0"/>
                <w:sz w:val="18"/>
                <w:szCs w:val="18"/>
              </w:rPr>
              <w:t>20</w:t>
            </w:r>
            <w:r>
              <w:rPr>
                <w:rFonts w:hint="eastAsia" w:eastAsia="宋体"/>
                <w:kern w:val="0"/>
                <w:sz w:val="18"/>
                <w:szCs w:val="18"/>
                <w:lang w:val="en-US" w:eastAsia="zh-CN"/>
              </w:rPr>
              <w:t>20</w:t>
            </w:r>
            <w:r>
              <w:rPr>
                <w:rFonts w:hint="eastAsia" w:eastAsia="宋体"/>
                <w:kern w:val="0"/>
                <w:sz w:val="18"/>
                <w:szCs w:val="18"/>
              </w:rPr>
              <w:t>年底前。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完成。</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eastAsia="宋体"/>
                <w:kern w:val="0"/>
                <w:sz w:val="21"/>
                <w:szCs w:val="21"/>
              </w:rPr>
              <w:t>社会效益</w:t>
            </w:r>
            <w:r>
              <w:rPr>
                <w:rFonts w:eastAsia="宋体"/>
                <w:kern w:val="0"/>
                <w:sz w:val="21"/>
                <w:szCs w:val="21"/>
              </w:rPr>
              <w:br w:type="textWrapping"/>
            </w:r>
            <w:r>
              <w:rPr>
                <w:rFonts w:eastAsia="宋体"/>
                <w:kern w:val="0"/>
                <w:sz w:val="21"/>
                <w:szCs w:val="21"/>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hint="eastAsia" w:ascii="Times New Roman" w:hAnsi="Times New Roman" w:eastAsia="宋体"/>
                <w:kern w:val="0"/>
                <w:sz w:val="21"/>
                <w:szCs w:val="21"/>
                <w:lang w:val="en-US" w:eastAsia="zh-CN" w:bidi="ar-SA"/>
              </w:rPr>
            </w:pPr>
            <w:r>
              <w:rPr>
                <w:rFonts w:hint="eastAsia" w:eastAsia="宋体"/>
                <w:kern w:val="0"/>
                <w:sz w:val="21"/>
                <w:szCs w:val="21"/>
                <w:lang w:val="en-US" w:eastAsia="zh-CN"/>
              </w:rPr>
              <w:t>群众行为规范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hint="eastAsia" w:ascii="Times New Roman" w:hAnsi="Times New Roman" w:eastAsia="宋体"/>
                <w:kern w:val="0"/>
                <w:sz w:val="18"/>
                <w:szCs w:val="18"/>
                <w:lang w:val="en-US" w:eastAsia="zh-CN" w:bidi="ar-SA"/>
              </w:rPr>
            </w:pPr>
            <w:r>
              <w:rPr>
                <w:rFonts w:hint="eastAsia" w:eastAsia="宋体"/>
                <w:kern w:val="0"/>
                <w:sz w:val="18"/>
                <w:szCs w:val="18"/>
                <w:lang w:eastAsia="zh-CN"/>
              </w:rPr>
              <w:t>规范引导市民文明行为，弘扬社会主义核心价值观</w:t>
            </w:r>
            <w:r>
              <w:rPr>
                <w:rFonts w:hint="eastAsia" w:eastAsia="宋体"/>
                <w:kern w:val="0"/>
                <w:sz w:val="18"/>
                <w:szCs w:val="18"/>
                <w:lang w:val="en-US" w:eastAsia="zh-CN"/>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Times New Roman" w:eastAsia="宋体" w:cs="宋体"/>
                <w:color w:val="000000"/>
                <w:kern w:val="2"/>
                <w:sz w:val="24"/>
                <w:szCs w:val="24"/>
                <w:lang w:val="en-US" w:eastAsia="zh-CN" w:bidi="ar-SA"/>
              </w:rPr>
            </w:pPr>
            <w:r>
              <w:rPr>
                <w:rFonts w:hint="eastAsia" w:ascii="宋体" w:cs="宋体"/>
                <w:color w:val="000000"/>
                <w:sz w:val="24"/>
                <w:lang w:eastAsia="zh-CN"/>
              </w:rPr>
              <w:t>完成。</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eastAsia="宋体"/>
                <w:kern w:val="0"/>
                <w:sz w:val="21"/>
                <w:szCs w:val="21"/>
              </w:rPr>
              <w:t>社会效益</w:t>
            </w:r>
            <w:r>
              <w:rPr>
                <w:rFonts w:eastAsia="宋体"/>
                <w:kern w:val="0"/>
                <w:sz w:val="21"/>
                <w:szCs w:val="21"/>
              </w:rPr>
              <w:br w:type="textWrapping"/>
            </w:r>
            <w:r>
              <w:rPr>
                <w:rFonts w:eastAsia="宋体"/>
                <w:kern w:val="0"/>
                <w:sz w:val="21"/>
                <w:szCs w:val="21"/>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hint="eastAsia" w:ascii="Times New Roman" w:hAnsi="Times New Roman" w:eastAsia="宋体"/>
                <w:kern w:val="0"/>
                <w:sz w:val="21"/>
                <w:szCs w:val="21"/>
                <w:lang w:val="en-US" w:eastAsia="zh-CN" w:bidi="ar-SA"/>
              </w:rPr>
            </w:pPr>
            <w:r>
              <w:rPr>
                <w:rFonts w:hint="eastAsia" w:eastAsia="宋体"/>
                <w:kern w:val="0"/>
                <w:sz w:val="21"/>
                <w:szCs w:val="21"/>
                <w:lang w:val="en-US" w:eastAsia="zh-CN"/>
              </w:rPr>
              <w:t>部门执法规范</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ascii="Times New Roman" w:hAnsi="Times New Roman" w:eastAsia="宋体"/>
                <w:kern w:val="0"/>
                <w:sz w:val="18"/>
                <w:szCs w:val="18"/>
                <w:lang w:val="en-US" w:eastAsia="zh-CN" w:bidi="ar-SA"/>
              </w:rPr>
            </w:pPr>
            <w:r>
              <w:rPr>
                <w:rFonts w:hint="eastAsia" w:eastAsia="宋体"/>
                <w:kern w:val="0"/>
                <w:sz w:val="18"/>
                <w:szCs w:val="18"/>
                <w:lang w:eastAsia="zh-CN"/>
              </w:rPr>
              <w:t>捋顺部门职责，规范部门依法执法、文明执法。</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Times New Roman" w:cs="宋体"/>
                <w:color w:val="000000"/>
                <w:kern w:val="2"/>
                <w:sz w:val="24"/>
                <w:szCs w:val="24"/>
                <w:lang w:val="en-US" w:eastAsia="zh-CN" w:bidi="ar-SA"/>
              </w:rPr>
            </w:pPr>
          </w:p>
        </w:tc>
      </w:tr>
      <w:tr>
        <w:tblPrEx>
          <w:tblCellMar>
            <w:top w:w="0" w:type="dxa"/>
            <w:left w:w="0" w:type="dxa"/>
            <w:bottom w:w="0" w:type="dxa"/>
            <w:right w:w="0" w:type="dxa"/>
          </w:tblCellMar>
        </w:tblPrEx>
        <w:trPr>
          <w:trHeight w:val="2000"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kern w:val="0"/>
                <w:sz w:val="21"/>
                <w:szCs w:val="21"/>
              </w:rPr>
            </w:pPr>
            <w:r>
              <w:rPr>
                <w:rFonts w:hint="eastAsia" w:eastAsia="宋体"/>
                <w:kern w:val="0"/>
                <w:sz w:val="21"/>
                <w:szCs w:val="21"/>
                <w:lang w:eastAsia="zh-CN"/>
              </w:rPr>
              <w:t>对市政府文件合法性审查</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hint="eastAsia" w:eastAsia="宋体"/>
                <w:kern w:val="0"/>
                <w:sz w:val="21"/>
                <w:szCs w:val="21"/>
                <w:lang w:val="en-US" w:eastAsia="zh-CN"/>
              </w:rPr>
            </w:pPr>
            <w:r>
              <w:rPr>
                <w:rFonts w:hint="eastAsia" w:eastAsia="宋体"/>
                <w:kern w:val="0"/>
                <w:sz w:val="21"/>
                <w:szCs w:val="21"/>
                <w:lang w:val="en-US" w:eastAsia="zh-CN"/>
              </w:rPr>
              <w:t>对政府规章、规范性文件以及县一级人大的规范性文件的合法性、可行性进行备案审查。</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hint="eastAsia" w:eastAsia="宋体"/>
                <w:kern w:val="0"/>
                <w:sz w:val="18"/>
                <w:szCs w:val="18"/>
                <w:lang w:eastAsia="zh-CN"/>
              </w:rPr>
            </w:pPr>
            <w:r>
              <w:rPr>
                <w:rFonts w:hint="eastAsia" w:eastAsia="宋体"/>
                <w:kern w:val="0"/>
                <w:sz w:val="18"/>
                <w:szCs w:val="18"/>
                <w:lang w:val="en-US" w:eastAsia="zh-CN"/>
              </w:rPr>
              <w:t>通过备案审查信息平台（市级），对政府规章以及其他规范性文件的合法性、可行性进行审查，实现市人大对市政府出台规章、规范性文件、县一级人大的规范性文件的事后监督。</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lang w:eastAsia="zh-CN"/>
              </w:rPr>
            </w:pPr>
            <w:r>
              <w:rPr>
                <w:rFonts w:hint="eastAsia" w:ascii="宋体" w:cs="宋体"/>
                <w:color w:val="000000"/>
                <w:sz w:val="24"/>
                <w:lang w:eastAsia="zh-CN"/>
              </w:rPr>
              <w:t>完成。</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kern w:val="0"/>
                <w:sz w:val="21"/>
                <w:szCs w:val="21"/>
                <w:lang w:eastAsia="zh-CN"/>
              </w:rPr>
            </w:pPr>
            <w:r>
              <w:rPr>
                <w:rFonts w:eastAsia="宋体"/>
                <w:kern w:val="0"/>
                <w:sz w:val="21"/>
                <w:szCs w:val="21"/>
              </w:rPr>
              <w:t>可持续影响</w:t>
            </w:r>
            <w:r>
              <w:rPr>
                <w:rFonts w:eastAsia="宋体"/>
                <w:kern w:val="0"/>
                <w:sz w:val="21"/>
                <w:szCs w:val="21"/>
              </w:rPr>
              <w:br w:type="textWrapping"/>
            </w:r>
            <w:r>
              <w:rPr>
                <w:rFonts w:eastAsia="宋体"/>
                <w:kern w:val="0"/>
                <w:sz w:val="21"/>
                <w:szCs w:val="21"/>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hint="eastAsia" w:ascii="Times New Roman" w:hAnsi="Times New Roman" w:eastAsia="宋体"/>
                <w:kern w:val="0"/>
                <w:sz w:val="21"/>
                <w:szCs w:val="21"/>
                <w:lang w:val="en-US" w:eastAsia="zh-CN" w:bidi="ar-SA"/>
              </w:rPr>
            </w:pPr>
            <w:r>
              <w:rPr>
                <w:rFonts w:hint="eastAsia" w:eastAsia="宋体"/>
                <w:kern w:val="0"/>
                <w:sz w:val="21"/>
                <w:szCs w:val="21"/>
                <w:lang w:val="en-US" w:eastAsia="zh-CN"/>
              </w:rPr>
              <w:t>巩固文明城市创建成果</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eastAsia="宋体"/>
                <w:kern w:val="0"/>
                <w:sz w:val="18"/>
                <w:szCs w:val="18"/>
              </w:rPr>
            </w:pPr>
            <w:r>
              <w:rPr>
                <w:rFonts w:hint="eastAsia" w:eastAsia="宋体"/>
                <w:kern w:val="0"/>
                <w:sz w:val="18"/>
                <w:szCs w:val="18"/>
                <w:lang w:val="en-US" w:eastAsia="zh-CN"/>
              </w:rPr>
              <w:t>提升市民整体人文素质，巩固文明城市创建成果。</w:t>
            </w:r>
          </w:p>
          <w:p>
            <w:pPr>
              <w:spacing w:line="280" w:lineRule="exact"/>
              <w:jc w:val="center"/>
              <w:rPr>
                <w:rFonts w:hint="eastAsia" w:ascii="Times New Roman" w:hAnsi="Times New Roman" w:eastAsia="宋体"/>
                <w:kern w:val="0"/>
                <w:sz w:val="18"/>
                <w:szCs w:val="18"/>
                <w:lang w:val="en-US" w:eastAsia="zh-CN" w:bidi="ar-SA"/>
              </w:rPr>
            </w:pPr>
            <w:r>
              <w:rPr>
                <w:rFonts w:eastAsia="宋体"/>
                <w:kern w:val="0"/>
                <w:sz w:val="18"/>
                <w:szCs w:val="18"/>
              </w:rPr>
              <w:t>　</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lang w:eastAsia="zh-CN"/>
              </w:rPr>
            </w:pPr>
            <w:r>
              <w:rPr>
                <w:rFonts w:hint="eastAsia" w:ascii="宋体" w:cs="宋体"/>
                <w:color w:val="000000"/>
                <w:sz w:val="24"/>
                <w:lang w:eastAsia="zh-CN"/>
              </w:rPr>
              <w:t>完成。</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Times New Roman" w:hAnsi="Times New Roman" w:eastAsia="宋体"/>
                <w:kern w:val="0"/>
                <w:sz w:val="21"/>
                <w:szCs w:val="21"/>
                <w:lang w:val="en-US" w:eastAsia="zh-CN" w:bidi="ar-SA"/>
              </w:rPr>
            </w:pPr>
            <w:r>
              <w:rPr>
                <w:rFonts w:eastAsia="宋体"/>
                <w:kern w:val="0"/>
                <w:sz w:val="21"/>
                <w:szCs w:val="21"/>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Times New Roman" w:hAnsi="Times New Roman" w:eastAsia="宋体"/>
                <w:kern w:val="0"/>
                <w:sz w:val="21"/>
                <w:szCs w:val="21"/>
                <w:lang w:val="en-US" w:eastAsia="zh-CN" w:bidi="ar-SA"/>
              </w:rPr>
            </w:pPr>
            <w:r>
              <w:rPr>
                <w:rFonts w:eastAsia="宋体"/>
                <w:kern w:val="0"/>
                <w:sz w:val="21"/>
                <w:szCs w:val="21"/>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left"/>
              <w:rPr>
                <w:rFonts w:ascii="Times New Roman" w:hAnsi="Times New Roman" w:eastAsia="宋体"/>
                <w:kern w:val="0"/>
                <w:sz w:val="21"/>
                <w:szCs w:val="21"/>
                <w:lang w:val="en-US" w:eastAsia="zh-CN" w:bidi="ar-SA"/>
              </w:rPr>
            </w:pPr>
            <w:r>
              <w:rPr>
                <w:rFonts w:hint="eastAsia" w:eastAsia="宋体"/>
                <w:kern w:val="0"/>
                <w:sz w:val="21"/>
                <w:szCs w:val="21"/>
                <w:lang w:val="en-US" w:eastAsia="zh-CN"/>
              </w:rPr>
              <w:t>群众满意度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both"/>
              <w:rPr>
                <w:rFonts w:ascii="Times New Roman" w:hAnsi="Times New Roman" w:eastAsia="宋体"/>
                <w:kern w:val="0"/>
                <w:sz w:val="21"/>
                <w:szCs w:val="21"/>
                <w:lang w:val="en-US" w:eastAsia="zh-CN" w:bidi="ar-SA"/>
              </w:rPr>
            </w:pPr>
            <w:r>
              <w:rPr>
                <w:rFonts w:hint="eastAsia" w:eastAsia="宋体"/>
                <w:kern w:val="0"/>
                <w:sz w:val="18"/>
                <w:szCs w:val="18"/>
                <w:lang w:val="en-US" w:eastAsia="zh-CN"/>
              </w:rPr>
              <w:t>广泛征求群众意见，实现开门立法、民主立法，地方立法获得群众支持和参与。</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eastAsia="zh-CN"/>
              </w:rPr>
              <w:t>完成。</w:t>
            </w:r>
          </w:p>
        </w:tc>
      </w:tr>
    </w:tbl>
    <w:p>
      <w:pPr>
        <w:numPr>
          <w:ilvl w:val="0"/>
          <w:numId w:val="0"/>
        </w:numPr>
        <w:spacing w:line="58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5）代表工作经费项目绩效目标完成情况综述。项目全年预算数57.9万元，执行数为57.9万元，完成预算的100%。通过项目实施，健全代表履职保障机制，夯实代表履职基础，全面提升人大代表履职能力，充分发挥代表主体作用。</w:t>
      </w:r>
    </w:p>
    <w:tbl>
      <w:tblPr>
        <w:tblStyle w:val="14"/>
        <w:tblpPr w:leftFromText="180" w:rightFromText="180" w:vertAnchor="text" w:horzAnchor="page" w:tblpX="2169" w:tblpY="923"/>
        <w:tblOverlap w:val="never"/>
        <w:tblW w:w="8475" w:type="dxa"/>
        <w:jc w:val="center"/>
        <w:tblLayout w:type="fixed"/>
        <w:tblCellMar>
          <w:top w:w="0" w:type="dxa"/>
          <w:left w:w="0" w:type="dxa"/>
          <w:bottom w:w="0" w:type="dxa"/>
          <w:right w:w="0" w:type="dxa"/>
        </w:tblCellMar>
      </w:tblPr>
      <w:tblGrid>
        <w:gridCol w:w="390"/>
        <w:gridCol w:w="1367"/>
        <w:gridCol w:w="598"/>
        <w:gridCol w:w="1050"/>
        <w:gridCol w:w="3120"/>
        <w:gridCol w:w="1950"/>
      </w:tblGrid>
      <w:tr>
        <w:tblPrEx>
          <w:tblCellMar>
            <w:top w:w="0" w:type="dxa"/>
            <w:left w:w="0" w:type="dxa"/>
            <w:bottom w:w="0" w:type="dxa"/>
            <w:right w:w="0" w:type="dxa"/>
          </w:tblCellMar>
        </w:tblPrEx>
        <w:trPr>
          <w:trHeight w:val="1034" w:hRule="atLeast"/>
          <w:jc w:val="center"/>
        </w:trPr>
        <w:tc>
          <w:tcPr>
            <w:tcW w:w="8475"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jc w:val="center"/>
        </w:trPr>
        <w:tc>
          <w:tcPr>
            <w:tcW w:w="23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1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代表活动</w:t>
            </w:r>
            <w:r>
              <w:rPr>
                <w:rFonts w:hint="eastAsia" w:ascii="宋体" w:hAnsi="宋体" w:cs="宋体"/>
                <w:color w:val="000000"/>
                <w:sz w:val="24"/>
              </w:rPr>
              <w:t>经费</w:t>
            </w:r>
          </w:p>
        </w:tc>
      </w:tr>
      <w:tr>
        <w:tblPrEx>
          <w:tblCellMar>
            <w:top w:w="0" w:type="dxa"/>
            <w:left w:w="0" w:type="dxa"/>
            <w:bottom w:w="0" w:type="dxa"/>
            <w:right w:w="0" w:type="dxa"/>
          </w:tblCellMar>
        </w:tblPrEx>
        <w:trPr>
          <w:trHeight w:val="276" w:hRule="atLeast"/>
          <w:jc w:val="center"/>
        </w:trPr>
        <w:tc>
          <w:tcPr>
            <w:tcW w:w="23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1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遂宁市人大常委会办公室</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1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57.9</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57.9</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57.9</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57.9</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1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30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50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964"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4"/>
              </w:rPr>
            </w:pPr>
          </w:p>
        </w:tc>
        <w:tc>
          <w:tcPr>
            <w:tcW w:w="30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0"/>
              </w:numPr>
              <w:jc w:val="left"/>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r>
              <w:rPr>
                <w:rFonts w:hint="eastAsia" w:ascii="宋体" w:hAnsi="宋体" w:cs="宋体"/>
                <w:color w:val="000000"/>
                <w:sz w:val="24"/>
              </w:rPr>
              <w:t>组织代表</w:t>
            </w:r>
            <w:r>
              <w:rPr>
                <w:rFonts w:hint="eastAsia" w:ascii="宋体" w:hAnsi="宋体" w:cs="宋体"/>
                <w:color w:val="000000"/>
                <w:sz w:val="24"/>
                <w:lang w:eastAsia="zh-CN"/>
              </w:rPr>
              <w:t>在市委党校</w:t>
            </w:r>
            <w:r>
              <w:rPr>
                <w:rFonts w:hint="eastAsia" w:ascii="宋体" w:hAnsi="宋体" w:cs="宋体"/>
                <w:color w:val="000000"/>
                <w:sz w:val="24"/>
              </w:rPr>
              <w:t>进行培训学习，提高履职能力。2</w:t>
            </w:r>
            <w:r>
              <w:rPr>
                <w:rFonts w:hint="eastAsia" w:ascii="宋体" w:hAnsi="宋体" w:cs="宋体"/>
                <w:color w:val="000000"/>
                <w:sz w:val="24"/>
                <w:lang w:val="en-US" w:eastAsia="zh-CN"/>
              </w:rPr>
              <w:t>.</w:t>
            </w:r>
            <w:r>
              <w:rPr>
                <w:rFonts w:hint="eastAsia" w:ascii="宋体" w:hAnsi="宋体" w:cs="宋体"/>
                <w:color w:val="000000"/>
                <w:sz w:val="24"/>
              </w:rPr>
              <w:t>邀请专家教授到遂宁对代表进行相关业务培训。</w:t>
            </w:r>
            <w:r>
              <w:rPr>
                <w:rFonts w:hint="eastAsia" w:ascii="宋体" w:hAnsi="宋体" w:cs="宋体"/>
                <w:color w:val="000000"/>
                <w:sz w:val="24"/>
                <w:lang w:val="en-US" w:eastAsia="zh-CN"/>
              </w:rPr>
              <w:t>3.代表视察、走访。</w:t>
            </w:r>
          </w:p>
          <w:p>
            <w:pPr>
              <w:widowControl/>
              <w:numPr>
                <w:ilvl w:val="0"/>
                <w:numId w:val="0"/>
              </w:numPr>
              <w:jc w:val="both"/>
              <w:textAlignment w:val="center"/>
              <w:rPr>
                <w:rFonts w:hint="eastAsia" w:ascii="宋体" w:hAnsi="宋体" w:cs="宋体"/>
                <w:color w:val="000000"/>
                <w:sz w:val="24"/>
              </w:rPr>
            </w:pPr>
          </w:p>
        </w:tc>
        <w:tc>
          <w:tcPr>
            <w:tcW w:w="50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1.</w:t>
            </w:r>
            <w:r>
              <w:rPr>
                <w:rFonts w:hint="eastAsia" w:ascii="宋体" w:hAnsi="宋体" w:cs="宋体"/>
                <w:color w:val="000000"/>
                <w:sz w:val="24"/>
                <w:lang w:eastAsia="zh-CN"/>
              </w:rPr>
              <w:t>组织</w:t>
            </w:r>
            <w:r>
              <w:rPr>
                <w:rFonts w:hint="eastAsia" w:ascii="宋体" w:hAnsi="宋体" w:cs="宋体"/>
                <w:color w:val="000000"/>
                <w:sz w:val="24"/>
                <w:lang w:val="en-US" w:eastAsia="zh-CN"/>
              </w:rPr>
              <w:t>50名代表市委党校履职能力培训</w:t>
            </w:r>
          </w:p>
          <w:p>
            <w:pPr>
              <w:widowControl/>
              <w:jc w:val="both"/>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2.邀请专家到遂进行代表培训</w:t>
            </w:r>
          </w:p>
          <w:p>
            <w:pPr>
              <w:widowControl/>
              <w:jc w:val="both"/>
              <w:textAlignment w:val="center"/>
              <w:rPr>
                <w:rFonts w:hint="eastAsia" w:ascii="宋体" w:hAnsi="宋体" w:cs="宋体"/>
                <w:color w:val="000000"/>
                <w:sz w:val="24"/>
                <w:lang w:eastAsia="zh-CN"/>
              </w:rPr>
            </w:pPr>
            <w:r>
              <w:rPr>
                <w:rFonts w:hint="eastAsia" w:ascii="宋体" w:hAnsi="宋体" w:cs="宋体"/>
                <w:color w:val="000000"/>
                <w:sz w:val="24"/>
                <w:lang w:val="en-US" w:eastAsia="zh-CN"/>
              </w:rPr>
              <w:t>3.</w:t>
            </w:r>
            <w:r>
              <w:rPr>
                <w:rFonts w:hint="eastAsia" w:ascii="宋体" w:hAnsi="宋体" w:cs="宋体"/>
                <w:color w:val="000000"/>
                <w:sz w:val="24"/>
                <w:lang w:eastAsia="zh-CN"/>
              </w:rPr>
              <w:t>开展代表履职进行视察走访活动</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数量指标</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代表小组活动</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开展次数</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en-US" w:eastAsia="zh-CN" w:bidi="ar"/>
              </w:rPr>
              <w:t>4</w:t>
            </w:r>
            <w:r>
              <w:rPr>
                <w:rFonts w:hint="eastAsia" w:ascii="宋体" w:hAnsi="宋体" w:cs="宋体"/>
                <w:color w:val="000000"/>
                <w:kern w:val="0"/>
                <w:sz w:val="24"/>
                <w:lang w:bidi="ar"/>
              </w:rPr>
              <w:t>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数量指标</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代表视察人数</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kern w:val="0"/>
                <w:sz w:val="24"/>
                <w:lang w:val="en-US" w:eastAsia="zh-CN" w:bidi="ar"/>
              </w:rPr>
              <w:t>378</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kern w:val="0"/>
                <w:sz w:val="24"/>
                <w:lang w:val="en-US" w:eastAsia="zh-CN" w:bidi="ar"/>
              </w:rPr>
              <w:t>378</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时间指标</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eastAsia="zh-CN" w:bidi="ar"/>
              </w:rPr>
              <w:t>完成时间</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r>
              <w:rPr>
                <w:rFonts w:hint="eastAsia" w:ascii="宋体" w:hAnsi="宋体" w:cs="宋体"/>
                <w:color w:val="000000"/>
                <w:kern w:val="0"/>
                <w:sz w:val="24"/>
                <w:lang w:val="en-US" w:eastAsia="zh-CN" w:bidi="ar"/>
              </w:rPr>
              <w:t>20</w:t>
            </w:r>
            <w:r>
              <w:rPr>
                <w:rFonts w:hint="eastAsia" w:ascii="宋体" w:hAnsi="宋体" w:cs="宋体"/>
                <w:color w:val="000000"/>
                <w:kern w:val="0"/>
                <w:sz w:val="24"/>
                <w:lang w:bidi="ar"/>
              </w:rPr>
              <w:t>年12月前</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按进度完成</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社会效益指标</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加强代表履职</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eastAsia="zh-CN" w:bidi="ar"/>
              </w:rPr>
              <w:t>视察走访提出建议</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bidi="ar"/>
              </w:rPr>
              <w:t>提升了代表履职能力和水平。</w:t>
            </w:r>
            <w:r>
              <w:rPr>
                <w:rFonts w:hint="eastAsia" w:ascii="宋体" w:hAnsi="宋体" w:cs="宋体"/>
                <w:color w:val="000000"/>
                <w:kern w:val="0"/>
                <w:sz w:val="24"/>
                <w:lang w:eastAsia="zh-CN" w:bidi="ar"/>
              </w:rPr>
              <w:t>解决营商环境、民生需要</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bidi="ar"/>
              </w:rPr>
              <w:t>满意度</w:t>
            </w:r>
            <w:r>
              <w:rPr>
                <w:rFonts w:hint="eastAsia" w:ascii="宋体" w:hAnsi="宋体" w:cs="宋体"/>
                <w:color w:val="000000"/>
                <w:kern w:val="0"/>
                <w:sz w:val="24"/>
                <w:lang w:eastAsia="zh-CN" w:bidi="ar"/>
              </w:rPr>
              <w:t>指标</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服务保障代表履职满意度</w:t>
            </w:r>
          </w:p>
        </w:tc>
        <w:tc>
          <w:tcPr>
            <w:tcW w:w="3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w:t>
            </w:r>
            <w:r>
              <w:rPr>
                <w:rFonts w:hint="eastAsia" w:ascii="宋体" w:hAnsi="宋体" w:cs="宋体"/>
                <w:color w:val="000000"/>
                <w:kern w:val="0"/>
                <w:sz w:val="24"/>
                <w:lang w:val="en-US" w:eastAsia="zh-CN" w:bidi="ar"/>
              </w:rPr>
              <w:t>5</w:t>
            </w:r>
            <w:r>
              <w:rPr>
                <w:rFonts w:hint="eastAsia" w:ascii="宋体" w:hAnsi="宋体" w:cs="宋体"/>
                <w:color w:val="000000"/>
                <w:kern w:val="0"/>
                <w:sz w:val="24"/>
                <w:lang w:bidi="ar"/>
              </w:rPr>
              <w:t>%</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＞95%</w:t>
            </w:r>
          </w:p>
        </w:tc>
      </w:tr>
    </w:tbl>
    <w:p/>
    <w:p>
      <w:pPr>
        <w:numPr>
          <w:ilvl w:val="0"/>
          <w:numId w:val="0"/>
        </w:numPr>
        <w:spacing w:line="580" w:lineRule="exact"/>
        <w:ind w:firstLine="640" w:firstLineChars="200"/>
        <w:rPr>
          <w:rFonts w:hint="eastAsia" w:ascii="仿宋_GB2312" w:eastAsia="仿宋_GB2312"/>
          <w:color w:val="000000"/>
          <w:sz w:val="32"/>
          <w:szCs w:val="32"/>
          <w:lang w:val="en-US" w:eastAsia="zh-CN"/>
        </w:rPr>
      </w:pPr>
    </w:p>
    <w:p>
      <w:pPr>
        <w:numPr>
          <w:ilvl w:val="0"/>
          <w:numId w:val="0"/>
        </w:numPr>
        <w:spacing w:line="58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2.部门绩效评价结果</w:t>
      </w:r>
    </w:p>
    <w:p>
      <w:pPr>
        <w:numPr>
          <w:ilvl w:val="0"/>
          <w:numId w:val="0"/>
        </w:numPr>
        <w:spacing w:line="58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本部门按要求对2020年部门整体支出绩效评价情况开展自评，《遂宁市人大常委会办公室2020年部门整体支出绩效评价报告》见附件。</w:t>
      </w:r>
    </w:p>
    <w:p>
      <w:pPr>
        <w:numPr>
          <w:ilvl w:val="0"/>
          <w:numId w:val="0"/>
        </w:numPr>
        <w:spacing w:line="580" w:lineRule="exact"/>
        <w:ind w:firstLine="640" w:firstLineChars="200"/>
        <w:rPr>
          <w:rFonts w:hint="eastAsia" w:ascii="仿宋_GB2312" w:eastAsia="仿宋_GB2312"/>
          <w:color w:val="000000"/>
          <w:sz w:val="32"/>
          <w:szCs w:val="32"/>
          <w:lang w:val="en-US" w:eastAsia="zh-CN"/>
        </w:rPr>
      </w:pPr>
    </w:p>
    <w:p>
      <w:pPr>
        <w:widowControl/>
        <w:jc w:val="left"/>
        <w:rPr>
          <w:rFonts w:ascii="仿宋_GB2312" w:eastAsia="仿宋_GB2312"/>
          <w:b/>
          <w:color w:val="000000"/>
          <w:sz w:val="32"/>
          <w:szCs w:val="32"/>
        </w:rPr>
      </w:pPr>
    </w:p>
    <w:p>
      <w:pPr>
        <w:widowControl/>
        <w:jc w:val="left"/>
        <w:rPr>
          <w:rFonts w:hint="eastAsia" w:ascii="黑体" w:hAnsi="黑体" w:eastAsia="黑体"/>
          <w:color w:val="000000"/>
          <w:sz w:val="44"/>
          <w:szCs w:val="44"/>
        </w:rPr>
      </w:pPr>
      <w:bookmarkStart w:id="53" w:name="_Toc15396613"/>
      <w:bookmarkStart w:id="54" w:name="_Toc15377225"/>
    </w:p>
    <w:p>
      <w:pPr>
        <w:pStyle w:val="2"/>
        <w:rPr>
          <w:rFonts w:hint="eastAsia" w:ascii="黑体" w:hAnsi="黑体" w:eastAsia="黑体"/>
          <w:color w:val="000000"/>
          <w:sz w:val="44"/>
          <w:szCs w:val="44"/>
        </w:rPr>
      </w:pPr>
    </w:p>
    <w:p>
      <w:pPr>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rPr>
          <w:rFonts w:hint="eastAsia"/>
        </w:rPr>
      </w:pPr>
    </w:p>
    <w:p>
      <w:pPr>
        <w:rPr>
          <w:rFonts w:hint="eastAsia"/>
        </w:rPr>
      </w:pPr>
    </w:p>
    <w:p>
      <w:pPr>
        <w:pStyle w:val="2"/>
        <w:rPr>
          <w:rFonts w:hint="eastAsia"/>
        </w:rPr>
      </w:pPr>
    </w:p>
    <w:p>
      <w:pPr>
        <w:rPr>
          <w:rFonts w:hint="eastAsia"/>
        </w:rPr>
      </w:pPr>
    </w:p>
    <w:p>
      <w:pPr>
        <w:rPr>
          <w:rFonts w:hint="eastAsia"/>
        </w:rPr>
      </w:pPr>
    </w:p>
    <w:p>
      <w:pPr>
        <w:widowControl/>
        <w:jc w:val="left"/>
        <w:rPr>
          <w:rStyle w:val="26"/>
          <w:rFonts w:ascii="黑体" w:hAnsi="黑体" w:eastAsia="黑体"/>
          <w:b w:val="0"/>
        </w:rPr>
      </w:pPr>
      <w:r>
        <w:rPr>
          <w:rFonts w:hint="eastAsia" w:ascii="黑体" w:hAnsi="黑体" w:eastAsia="黑体"/>
          <w:color w:val="000000"/>
          <w:sz w:val="44"/>
          <w:szCs w:val="44"/>
        </w:rPr>
        <w:t>名</w:t>
      </w:r>
      <w:r>
        <w:rPr>
          <w:rStyle w:val="26"/>
          <w:rFonts w:hint="eastAsia" w:ascii="黑体" w:hAnsi="黑体" w:eastAsia="黑体"/>
          <w:b w:val="0"/>
        </w:rPr>
        <w:t>词解释</w:t>
      </w:r>
      <w:bookmarkEnd w:id="53"/>
      <w:bookmarkEnd w:id="54"/>
    </w:p>
    <w:p>
      <w:pPr>
        <w:spacing w:line="600" w:lineRule="exact"/>
        <w:jc w:val="left"/>
        <w:rPr>
          <w:rFonts w:ascii="宋体"/>
          <w:b/>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bookmarkStart w:id="55" w:name="_Toc15396614"/>
      <w:bookmarkStart w:id="56" w:name="_Toc15377226"/>
      <w:r>
        <w:rPr>
          <w:rFonts w:hint="eastAsia" w:ascii="仿宋" w:hAnsi="仿宋" w:eastAsia="仿宋" w:cs="仿宋"/>
          <w:color w:val="000000"/>
          <w:sz w:val="32"/>
          <w:szCs w:val="32"/>
        </w:rPr>
        <w:t>1.财政拨款收入：指单位从同级财政部门取得的财政预算资金。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2.其他收入：指单位取得的除上述收入以外的各项收入。主要是利息收入。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3.年初结转和结余：指以前年度尚未完成、结转到本年按有关规定继续使用的资金。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4.年末结转和结余：指单位按有关规定结转到下年或以后年度继续使用的资金。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5.一般公共服务（类）人大事务（款）行政运行（项）：反映行政单位（包括实行公务员管理的事业单位）的基本支出。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一般行政管理事务（项）：反映行政单位未单独设置项级科目的其他项目支出。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人大会议（项）：反映召开人民代表大会等专门会议的支出。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人大立法（项）：反映人大立法方面的支出。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人大监督（项）：反映人大开展监督工作的支出。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人大代表履职能力提升（项）：反映人大为提高代表履职能力所发生的各项支出。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代表工作（项）：反映人大代表开展各类视察等方面的支出。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人大信访工作（项）：反映人大处理来信来访工作的支出。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其他人大事务支出（项）：反映除上述项目以外的其他人大事务支出。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6.社会保障和就业（类）行政单位离退休（款）归口管理的行政单位离退休（项）：反映实行归口管理的行政单位开支的离退休支出。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机关事业单位基本养老保险缴费支出（项）：反映机关事业单位实施养老保险制度由单位缴纳的基本养老保险费支出。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机关事业单位职业年金缴费支出（项）：反映机关事业单位实施养老保险制度由单位实际缴纳的职业年金支出。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抚恤（款）死亡抚恤（项）：反映按规定用于烈士和牺牲、病故人员家属的一次性和定期抚恤金以及丧葬补助费。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其他社会保障和就业支出（款）其他社会保障和就业支出（项）：反映其他用于社会保障和就业方面的支出。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7.卫生健康支出（类）行政事业单位医疗（款）行政单位医疗（项）：反映财政部门集中安排的行政单位基本医疗保险缴费经费。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公务员医疗补助（项）：反映财政部门集中安排的公务员医疗补助经费。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8. 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9.基本支出：指为保障机构正常运转、完成日常工作任务而发生的人员支出和公用支出。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10.项目支出：指在基本支出之外为完成特定行政任务和事业发展目标所发生的支出。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12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 w:hAnsi="仿宋" w:eastAsia="仿宋" w:cs="仿宋"/>
          <w:color w:val="000000"/>
          <w:sz w:val="32"/>
          <w:szCs w:val="32"/>
        </w:rPr>
      </w:pPr>
    </w:p>
    <w:p>
      <w:pPr>
        <w:spacing w:line="600" w:lineRule="exact"/>
        <w:jc w:val="center"/>
        <w:outlineLvl w:val="0"/>
        <w:rPr>
          <w:rFonts w:hint="eastAsia" w:ascii="仿宋" w:hAnsi="仿宋" w:eastAsia="仿宋" w:cs="仿宋"/>
          <w:color w:val="000000"/>
          <w:sz w:val="44"/>
          <w:szCs w:val="44"/>
        </w:rPr>
      </w:pPr>
    </w:p>
    <w:p>
      <w:pPr>
        <w:spacing w:line="600" w:lineRule="exact"/>
        <w:jc w:val="center"/>
        <w:outlineLvl w:val="0"/>
        <w:rPr>
          <w:rFonts w:hint="eastAsia" w:ascii="仿宋" w:hAnsi="仿宋" w:eastAsia="仿宋" w:cs="仿宋"/>
          <w:color w:val="000000"/>
          <w:sz w:val="44"/>
          <w:szCs w:val="44"/>
        </w:rPr>
      </w:pPr>
    </w:p>
    <w:p>
      <w:pPr>
        <w:pStyle w:val="2"/>
        <w:rPr>
          <w:rFonts w:hint="eastAsia" w:ascii="仿宋" w:hAnsi="仿宋" w:eastAsia="仿宋" w:cs="仿宋"/>
          <w:color w:val="000000"/>
          <w:sz w:val="44"/>
          <w:szCs w:val="44"/>
        </w:rPr>
      </w:pPr>
    </w:p>
    <w:p>
      <w:pPr>
        <w:rPr>
          <w:rFonts w:hint="eastAsia"/>
        </w:rPr>
      </w:pPr>
    </w:p>
    <w:p>
      <w:pPr>
        <w:spacing w:line="600" w:lineRule="exact"/>
        <w:jc w:val="center"/>
        <w:outlineLvl w:val="0"/>
        <w:rPr>
          <w:rStyle w:val="26"/>
          <w:rFonts w:hint="eastAsia" w:ascii="黑体" w:hAnsi="黑体" w:eastAsia="黑体"/>
          <w:b w:val="0"/>
        </w:rPr>
      </w:pPr>
      <w:r>
        <w:rPr>
          <w:rStyle w:val="26"/>
          <w:rFonts w:hint="eastAsia" w:ascii="黑体" w:hAnsi="黑体" w:eastAsia="黑体"/>
          <w:b w:val="0"/>
        </w:rPr>
        <w:t>第四部分 附件</w:t>
      </w:r>
      <w:bookmarkEnd w:id="55"/>
    </w:p>
    <w:p>
      <w:pPr>
        <w:spacing w:line="600" w:lineRule="exact"/>
        <w:jc w:val="left"/>
        <w:outlineLvl w:val="0"/>
        <w:rPr>
          <w:rStyle w:val="26"/>
          <w:rFonts w:hint="eastAsia" w:ascii="黑体" w:hAnsi="黑体" w:eastAsia="黑体"/>
          <w:b w:val="0"/>
        </w:rPr>
      </w:pPr>
      <w:r>
        <w:rPr>
          <w:rStyle w:val="26"/>
          <w:rFonts w:hint="eastAsia" w:ascii="黑体" w:hAnsi="黑体" w:eastAsia="黑体"/>
          <w:b w:val="0"/>
        </w:rPr>
        <w:t>附件1</w:t>
      </w:r>
    </w:p>
    <w:p>
      <w:pPr>
        <w:spacing w:line="580" w:lineRule="exact"/>
        <w:jc w:val="center"/>
        <w:rPr>
          <w:rFonts w:ascii="方正小标宋简体" w:hAnsi="方正小标宋简体" w:eastAsia="方正小标宋简体" w:cs="方正小标宋简体"/>
          <w:sz w:val="44"/>
          <w:szCs w:val="44"/>
          <w:highlight w:val="red"/>
        </w:rPr>
      </w:pPr>
    </w:p>
    <w:p>
      <w:pPr>
        <w:keepNext w:val="0"/>
        <w:keepLines w:val="0"/>
        <w:pageBreakBefore w:val="0"/>
        <w:widowControl w:val="0"/>
        <w:kinsoku/>
        <w:wordWrap/>
        <w:overflowPunct/>
        <w:topLinePunct w:val="0"/>
        <w:autoSpaceDE/>
        <w:autoSpaceDN/>
        <w:bidi w:val="0"/>
        <w:adjustRightInd/>
        <w:snapToGrid/>
        <w:spacing w:line="600" w:lineRule="exact"/>
        <w:ind w:firstLine="883" w:firstLineChars="200"/>
        <w:jc w:val="center"/>
        <w:textAlignment w:val="auto"/>
        <w:rPr>
          <w:rFonts w:hint="eastAsia" w:ascii="仿宋" w:hAnsi="仿宋" w:eastAsia="仿宋" w:cs="仿宋"/>
          <w:b/>
          <w:bCs/>
          <w:color w:val="000000"/>
          <w:kern w:val="0"/>
          <w:sz w:val="44"/>
          <w:szCs w:val="44"/>
          <w:lang w:eastAsia="zh-CN"/>
        </w:rPr>
      </w:pPr>
      <w:r>
        <w:rPr>
          <w:rFonts w:hint="eastAsia" w:ascii="仿宋" w:hAnsi="仿宋" w:eastAsia="仿宋" w:cs="仿宋"/>
          <w:b/>
          <w:bCs/>
          <w:color w:val="000000"/>
          <w:kern w:val="0"/>
          <w:sz w:val="44"/>
          <w:szCs w:val="44"/>
          <w:lang w:eastAsia="zh-CN"/>
        </w:rPr>
        <w:t>遂宁市人大常委会办公室</w:t>
      </w:r>
    </w:p>
    <w:p>
      <w:pPr>
        <w:keepNext w:val="0"/>
        <w:keepLines w:val="0"/>
        <w:pageBreakBefore w:val="0"/>
        <w:widowControl w:val="0"/>
        <w:kinsoku/>
        <w:wordWrap/>
        <w:overflowPunct/>
        <w:topLinePunct w:val="0"/>
        <w:autoSpaceDE/>
        <w:autoSpaceDN/>
        <w:bidi w:val="0"/>
        <w:adjustRightInd/>
        <w:snapToGrid/>
        <w:spacing w:line="600" w:lineRule="exact"/>
        <w:ind w:firstLine="883" w:firstLineChars="200"/>
        <w:jc w:val="center"/>
        <w:textAlignment w:val="auto"/>
        <w:rPr>
          <w:rFonts w:hint="eastAsia" w:ascii="仿宋" w:hAnsi="仿宋" w:eastAsia="仿宋" w:cs="仿宋"/>
          <w:b/>
          <w:bCs/>
          <w:color w:val="000000"/>
          <w:kern w:val="0"/>
          <w:sz w:val="44"/>
          <w:szCs w:val="44"/>
          <w:lang w:eastAsia="zh-CN"/>
        </w:rPr>
      </w:pPr>
      <w:r>
        <w:rPr>
          <w:rFonts w:hint="eastAsia" w:ascii="仿宋" w:hAnsi="仿宋" w:eastAsia="仿宋" w:cs="仿宋"/>
          <w:b/>
          <w:bCs/>
          <w:color w:val="000000"/>
          <w:kern w:val="0"/>
          <w:sz w:val="44"/>
          <w:szCs w:val="44"/>
          <w:lang w:eastAsia="zh-CN"/>
        </w:rPr>
        <w:t>20</w:t>
      </w:r>
      <w:r>
        <w:rPr>
          <w:rFonts w:hint="eastAsia" w:ascii="仿宋" w:hAnsi="仿宋" w:eastAsia="仿宋" w:cs="仿宋"/>
          <w:b/>
          <w:bCs/>
          <w:color w:val="000000"/>
          <w:kern w:val="0"/>
          <w:sz w:val="44"/>
          <w:szCs w:val="44"/>
          <w:lang w:val="en-US" w:eastAsia="zh-CN"/>
        </w:rPr>
        <w:t>20</w:t>
      </w:r>
      <w:r>
        <w:rPr>
          <w:rFonts w:hint="eastAsia" w:ascii="仿宋" w:hAnsi="仿宋" w:eastAsia="仿宋" w:cs="仿宋"/>
          <w:b/>
          <w:bCs/>
          <w:color w:val="000000"/>
          <w:kern w:val="0"/>
          <w:sz w:val="44"/>
          <w:szCs w:val="44"/>
          <w:lang w:eastAsia="zh-CN"/>
        </w:rPr>
        <w:t>年整体支出绩效自评报告</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jc w:val="both"/>
        <w:textAlignment w:val="auto"/>
        <w:rPr>
          <w:rFonts w:hint="eastAsia" w:ascii="仿宋" w:hAnsi="仿宋" w:eastAsia="仿宋" w:cs="仿宋"/>
          <w:color w:val="000000"/>
          <w:kern w:val="0"/>
          <w:sz w:val="40"/>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一、单位概况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（一）机构组成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eastAsia="zh-CN"/>
        </w:rPr>
        <w:t>遂宁市人大常委员会办公室设一级预算单位1个，无下设预算单位</w:t>
      </w:r>
      <w:r>
        <w:rPr>
          <w:rFonts w:hint="eastAsia" w:ascii="仿宋" w:hAnsi="仿宋" w:eastAsia="仿宋" w:cs="仿宋"/>
          <w:color w:val="000000"/>
          <w:kern w:val="0"/>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（二）机构职能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eastAsia="zh-CN"/>
        </w:rPr>
        <w:t>遂宁市人民代表大会常务委员会办公室职能简介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1. 承担市人民代表大会会议、常委会会议、常委会党组会议、常委会主任会议、常委会机关党组会议等会务工作及会议决定事项的督办工作。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2. 负责常委会组成人员视察和常委会执法检查等有关工作。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3. 负责市人大常委会机关的文电、档案、保密、文印等工作；负责常委会机关信息网络建设和办公自动化建设；负责编辑《遂宁市人大常委会公报》。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4. 受主任会议委托，拟订有关议案草案。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5. 承办市人大常委会同市委、市“一府一委两院”、军分区以及县（市、区）人大常委会联系的有关工作，统一答复县（市、区）人大常委会及市级有关部门对有关问题的询问。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6. 负责市人大常委会的宣传工作，组织对市人民代表大会、常委会会议、常委会主任会议以及对民主法制建设、人大制度、人大工作的宣传报道。人大好新闻的评选工作。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7. 围绕市人大常委会会议审议的议题及机关工作开展调查研究、提供调查报告、研究报告及有关资料。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8. 负责市人大常委会工作报告、年度工作计划、有关文件以及领导同志重要讲话材料稿起草工作。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9. 负责市人大机关图书室、资料室的管理维护工作，编写资料信息的工作；负责机关和上级人大刊物的征订发行工作。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10. 承担人民代表大会制度与人大工作有关的理论研究工作。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11. 起草、修改人大常委会机关自身建设等方面制度；负责机关日常管理、干部教育等制度建设。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12. 负责市人大常委会机关的人事管理，负责机关党的思想、组织、作风建设以及精神文明建设。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13. 负责机关离退休人员的服务管理工作。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14. 负责市人大常委机关信访工作。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15. 协办省人大常委会工作组莅遂视察调研等政务服务工作，承办其他市（州）人大常委会及本市县</w:t>
      </w:r>
      <w:r>
        <w:rPr>
          <w:rFonts w:hint="eastAsia" w:ascii="仿宋" w:hAnsi="仿宋" w:eastAsia="仿宋" w:cs="仿宋"/>
          <w:color w:val="000000"/>
          <w:kern w:val="0"/>
          <w:sz w:val="32"/>
          <w:szCs w:val="32"/>
          <w:lang w:val="en-US" w:eastAsia="zh-CN"/>
        </w:rPr>
        <w:t>(市、区）</w:t>
      </w:r>
      <w:r>
        <w:rPr>
          <w:rFonts w:hint="eastAsia" w:ascii="仿宋" w:hAnsi="仿宋" w:eastAsia="仿宋" w:cs="仿宋"/>
          <w:color w:val="000000"/>
          <w:kern w:val="0"/>
          <w:sz w:val="32"/>
          <w:szCs w:val="32"/>
          <w:lang w:eastAsia="zh-CN"/>
        </w:rPr>
        <w:t>人大常委会工作组来遂的政务服务工作。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16. 负责市人大常委会机关的财务管理、国有资产管理等行政事务管理工作。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17. 负责市人大常委会机关的安全保卫工作。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18. 受市人大常委会会议、常委会党组会议、常委会主任会议和市人大常委会主任、副主任、秘书长的委托，统筹协调人大专门委员会、常委会办事机构联系工作。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19. 承办市人大常委会、常委会党组会议、常委会主任会议和市人大常委会主任、副主任、秘书长、副秘书长交办的有关工作。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（三）人员概况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市人大常委会机关现有行政编制41名（核定厅级领导的单列行政编制4名，一般行政编制37名），事业编制2名，机关工勤编制9名。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二、部门财政资金收支情况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（一）部门财政资金收入情况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2019</w:t>
      </w:r>
      <w:r>
        <w:rPr>
          <w:rFonts w:hint="eastAsia" w:ascii="仿宋" w:hAnsi="仿宋" w:eastAsia="仿宋" w:cs="仿宋"/>
          <w:color w:val="000000"/>
          <w:kern w:val="0"/>
          <w:sz w:val="32"/>
          <w:szCs w:val="32"/>
          <w:lang w:eastAsia="zh-CN"/>
        </w:rPr>
        <w:t>年收入预算执行数为</w:t>
      </w:r>
      <w:r>
        <w:rPr>
          <w:rFonts w:hint="eastAsia" w:ascii="仿宋" w:hAnsi="仿宋" w:eastAsia="仿宋" w:cs="仿宋"/>
          <w:color w:val="000000"/>
          <w:kern w:val="0"/>
          <w:sz w:val="32"/>
          <w:szCs w:val="32"/>
          <w:lang w:val="en-US" w:eastAsia="zh-CN"/>
        </w:rPr>
        <w:t>1750.79</w:t>
      </w:r>
      <w:r>
        <w:rPr>
          <w:rFonts w:hint="eastAsia" w:ascii="仿宋" w:hAnsi="仿宋" w:eastAsia="仿宋" w:cs="仿宋"/>
          <w:color w:val="000000"/>
          <w:kern w:val="0"/>
          <w:sz w:val="32"/>
          <w:szCs w:val="32"/>
          <w:lang w:eastAsia="zh-CN"/>
        </w:rPr>
        <w:t>万元，</w:t>
      </w:r>
      <w:r>
        <w:rPr>
          <w:rFonts w:hint="eastAsia" w:ascii="仿宋" w:hAnsi="仿宋" w:eastAsia="仿宋" w:cs="仿宋"/>
          <w:color w:val="000000"/>
          <w:kern w:val="0"/>
          <w:sz w:val="32"/>
          <w:szCs w:val="32"/>
          <w:lang w:val="en-US" w:eastAsia="zh-CN"/>
        </w:rPr>
        <w:t>2020</w:t>
      </w:r>
      <w:r>
        <w:rPr>
          <w:rFonts w:hint="eastAsia" w:ascii="仿宋" w:hAnsi="仿宋" w:eastAsia="仿宋" w:cs="仿宋"/>
          <w:color w:val="000000"/>
          <w:kern w:val="0"/>
          <w:sz w:val="32"/>
          <w:szCs w:val="32"/>
          <w:lang w:eastAsia="zh-CN"/>
        </w:rPr>
        <w:t>年收入预算执行数为</w:t>
      </w:r>
      <w:r>
        <w:rPr>
          <w:rFonts w:hint="eastAsia" w:ascii="仿宋" w:hAnsi="仿宋" w:eastAsia="仿宋" w:cs="仿宋"/>
          <w:color w:val="000000"/>
          <w:kern w:val="0"/>
          <w:sz w:val="32"/>
          <w:szCs w:val="32"/>
          <w:lang w:val="en-US" w:eastAsia="zh-CN"/>
        </w:rPr>
        <w:t>1833.95</w:t>
      </w:r>
      <w:r>
        <w:rPr>
          <w:rFonts w:hint="eastAsia" w:ascii="仿宋" w:hAnsi="仿宋" w:eastAsia="仿宋" w:cs="仿宋"/>
          <w:color w:val="000000"/>
          <w:kern w:val="0"/>
          <w:sz w:val="32"/>
          <w:szCs w:val="32"/>
          <w:lang w:eastAsia="zh-CN"/>
        </w:rPr>
        <w:t>万元，比上年增长</w:t>
      </w:r>
      <w:r>
        <w:rPr>
          <w:rFonts w:hint="eastAsia" w:ascii="仿宋" w:hAnsi="仿宋" w:eastAsia="仿宋" w:cs="仿宋"/>
          <w:color w:val="000000"/>
          <w:kern w:val="0"/>
          <w:sz w:val="32"/>
          <w:szCs w:val="32"/>
          <w:lang w:val="en-US" w:eastAsia="zh-CN"/>
        </w:rPr>
        <w:t>4.75</w:t>
      </w:r>
      <w:r>
        <w:rPr>
          <w:rFonts w:hint="eastAsia" w:ascii="仿宋" w:hAnsi="仿宋" w:eastAsia="仿宋" w:cs="仿宋"/>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（二）部门财政资金支出情况。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2019</w:t>
      </w:r>
      <w:r>
        <w:rPr>
          <w:rFonts w:hint="eastAsia" w:ascii="仿宋" w:hAnsi="仿宋" w:eastAsia="仿宋" w:cs="仿宋"/>
          <w:color w:val="000000"/>
          <w:kern w:val="0"/>
          <w:sz w:val="32"/>
          <w:szCs w:val="32"/>
          <w:lang w:eastAsia="zh-CN"/>
        </w:rPr>
        <w:t>年支出预算执行数为</w:t>
      </w:r>
      <w:r>
        <w:rPr>
          <w:rFonts w:hint="eastAsia" w:ascii="仿宋" w:hAnsi="仿宋" w:eastAsia="仿宋" w:cs="仿宋"/>
          <w:color w:val="000000"/>
          <w:kern w:val="0"/>
          <w:sz w:val="32"/>
          <w:szCs w:val="32"/>
          <w:lang w:val="en-US" w:eastAsia="zh-CN"/>
        </w:rPr>
        <w:t>1733.43</w:t>
      </w:r>
      <w:r>
        <w:rPr>
          <w:rFonts w:hint="eastAsia" w:ascii="仿宋" w:hAnsi="仿宋" w:eastAsia="仿宋" w:cs="仿宋"/>
          <w:color w:val="000000"/>
          <w:kern w:val="0"/>
          <w:sz w:val="32"/>
          <w:szCs w:val="32"/>
          <w:lang w:eastAsia="zh-CN"/>
        </w:rPr>
        <w:t>万元，</w:t>
      </w:r>
      <w:r>
        <w:rPr>
          <w:rFonts w:hint="eastAsia" w:ascii="仿宋" w:hAnsi="仿宋" w:eastAsia="仿宋" w:cs="仿宋"/>
          <w:color w:val="000000"/>
          <w:kern w:val="0"/>
          <w:sz w:val="32"/>
          <w:szCs w:val="32"/>
          <w:lang w:val="en-US" w:eastAsia="zh-CN"/>
        </w:rPr>
        <w:t>2020</w:t>
      </w:r>
      <w:r>
        <w:rPr>
          <w:rFonts w:hint="eastAsia" w:ascii="仿宋" w:hAnsi="仿宋" w:eastAsia="仿宋" w:cs="仿宋"/>
          <w:color w:val="000000"/>
          <w:kern w:val="0"/>
          <w:sz w:val="32"/>
          <w:szCs w:val="32"/>
          <w:lang w:eastAsia="zh-CN"/>
        </w:rPr>
        <w:t>年支出预算执行数为</w:t>
      </w:r>
      <w:r>
        <w:rPr>
          <w:rFonts w:hint="eastAsia" w:ascii="仿宋" w:hAnsi="仿宋" w:eastAsia="仿宋" w:cs="仿宋"/>
          <w:color w:val="000000"/>
          <w:kern w:val="0"/>
          <w:sz w:val="32"/>
          <w:szCs w:val="32"/>
          <w:lang w:val="en-US" w:eastAsia="zh-CN"/>
        </w:rPr>
        <w:t>1865.07</w:t>
      </w:r>
      <w:r>
        <w:rPr>
          <w:rFonts w:hint="eastAsia" w:ascii="仿宋" w:hAnsi="仿宋" w:eastAsia="仿宋" w:cs="仿宋"/>
          <w:color w:val="000000"/>
          <w:kern w:val="0"/>
          <w:sz w:val="32"/>
          <w:szCs w:val="32"/>
          <w:lang w:eastAsia="zh-CN"/>
        </w:rPr>
        <w:t>万元，比上年增长</w:t>
      </w:r>
      <w:r>
        <w:rPr>
          <w:rFonts w:hint="eastAsia" w:ascii="仿宋" w:hAnsi="仿宋" w:eastAsia="仿宋" w:cs="仿宋"/>
          <w:color w:val="000000"/>
          <w:kern w:val="0"/>
          <w:sz w:val="32"/>
          <w:szCs w:val="32"/>
          <w:lang w:val="en-US" w:eastAsia="zh-CN"/>
        </w:rPr>
        <w:t>7.59</w:t>
      </w:r>
      <w:r>
        <w:rPr>
          <w:rFonts w:hint="eastAsia" w:ascii="仿宋" w:hAnsi="仿宋" w:eastAsia="仿宋" w:cs="仿宋"/>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三、部门财政支出管理情况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（一）预算编制情况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eastAsia="zh-CN"/>
        </w:rPr>
        <w:t>综合预算管理。严格按照预算原则，将单位各项收入完整列入部门预算，统筹安排用于各项支出。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lang w:eastAsia="zh-CN"/>
        </w:rPr>
        <w:t>优化预算支出结构。严格执行中央八项规定、省市十项规定精神和国务院“约法三章”要求，严格控制“三公”经费等一般性支出。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lang w:eastAsia="zh-CN"/>
        </w:rPr>
        <w:t>规范预算编制主体。单位预算没有将应由本单位承担的支出列入下级单位或将应由下级单位承担的支出列入本单位预算。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lang w:eastAsia="zh-CN"/>
        </w:rPr>
        <w:t>规范编制基本支出和项目支出。严格控制基本支出的开支范围和标准，预算编制中如实填报人员编制、实有人数，不存在多报、虚报在编人数的情况。项目信息编制做到细化清晰、严格执行相关项目支出标准，不存在重复申报或虚报项目内容，不存在项目支出中编制在职人员工资福利支出和离退休费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lang w:eastAsia="zh-CN"/>
        </w:rPr>
        <w:t>完整编制政府采购预算。按照政府集中采购目录及采购限额标准的有关要求，对所有使用纳入单位预算管理的资金采购货物、工程和服务的支出做到完整编制政府采购预算。因预算调整需相应调整政府采购预算或年初未编制政府采购预算的，均按程序及时办理补服、申请调整和备案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6.</w:t>
      </w:r>
      <w:r>
        <w:rPr>
          <w:rFonts w:hint="eastAsia" w:ascii="仿宋" w:hAnsi="仿宋" w:eastAsia="仿宋" w:cs="仿宋"/>
          <w:color w:val="000000"/>
          <w:kern w:val="0"/>
          <w:sz w:val="32"/>
          <w:szCs w:val="32"/>
          <w:lang w:eastAsia="zh-CN"/>
        </w:rPr>
        <w:t>强化资产配置预算管理。严格按照资产配置标准厉行节约、从严控制。按照国有资产管理办法相关规定，将办公楼出租收入按照“收支两条线”管理原则纳入单位预算。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（二）执行管理情况</w:t>
      </w:r>
      <w:r>
        <w:rPr>
          <w:rFonts w:hint="eastAsia" w:ascii="仿宋" w:hAnsi="仿宋" w:eastAsia="仿宋" w:cs="仿宋"/>
          <w:color w:val="000000"/>
          <w:kern w:val="0"/>
          <w:sz w:val="32"/>
          <w:szCs w:val="32"/>
          <w:lang w:val="zh-CN" w:eastAsia="zh-CN"/>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遂宁市人大常委会办公室</w:t>
      </w:r>
      <w:r>
        <w:rPr>
          <w:rFonts w:hint="eastAsia" w:ascii="仿宋" w:hAnsi="仿宋" w:eastAsia="仿宋" w:cs="仿宋"/>
          <w:color w:val="000000"/>
          <w:kern w:val="0"/>
          <w:sz w:val="32"/>
          <w:szCs w:val="32"/>
          <w:lang w:eastAsia="zh-CN"/>
        </w:rPr>
        <w:t>20</w:t>
      </w:r>
      <w:r>
        <w:rPr>
          <w:rFonts w:hint="eastAsia" w:ascii="仿宋" w:hAnsi="仿宋" w:eastAsia="仿宋" w:cs="仿宋"/>
          <w:color w:val="000000"/>
          <w:kern w:val="0"/>
          <w:sz w:val="32"/>
          <w:szCs w:val="32"/>
          <w:lang w:val="en-US" w:eastAsia="zh-CN"/>
        </w:rPr>
        <w:t>20</w:t>
      </w:r>
      <w:r>
        <w:rPr>
          <w:rFonts w:hint="eastAsia" w:ascii="仿宋" w:hAnsi="仿宋" w:eastAsia="仿宋" w:cs="仿宋"/>
          <w:color w:val="000000"/>
          <w:kern w:val="0"/>
          <w:sz w:val="32"/>
          <w:szCs w:val="32"/>
          <w:lang w:eastAsia="zh-CN"/>
        </w:rPr>
        <w:t>年一般公共预算总支出</w:t>
      </w:r>
      <w:r>
        <w:rPr>
          <w:rFonts w:hint="eastAsia" w:ascii="仿宋" w:hAnsi="仿宋" w:eastAsia="仿宋" w:cs="仿宋"/>
          <w:color w:val="000000"/>
          <w:kern w:val="0"/>
          <w:sz w:val="32"/>
          <w:szCs w:val="32"/>
          <w:lang w:val="en-US" w:eastAsia="zh-CN"/>
        </w:rPr>
        <w:t>1865.07</w:t>
      </w:r>
      <w:r>
        <w:rPr>
          <w:rFonts w:hint="eastAsia" w:ascii="仿宋" w:hAnsi="仿宋" w:eastAsia="仿宋" w:cs="仿宋"/>
          <w:color w:val="000000"/>
          <w:kern w:val="0"/>
          <w:sz w:val="32"/>
          <w:szCs w:val="32"/>
          <w:lang w:eastAsia="zh-CN"/>
        </w:rPr>
        <w:t>万元，分别为项目支出</w:t>
      </w:r>
      <w:r>
        <w:rPr>
          <w:rFonts w:hint="eastAsia" w:ascii="仿宋" w:hAnsi="仿宋" w:eastAsia="仿宋" w:cs="仿宋"/>
          <w:color w:val="000000"/>
          <w:kern w:val="0"/>
          <w:sz w:val="32"/>
          <w:szCs w:val="32"/>
          <w:lang w:val="en-US" w:eastAsia="zh-CN"/>
        </w:rPr>
        <w:t>394.36万元，基本支出1470.71万元。</w:t>
      </w:r>
      <w:r>
        <w:rPr>
          <w:rFonts w:hint="eastAsia" w:ascii="仿宋" w:hAnsi="仿宋" w:eastAsia="仿宋" w:cs="仿宋"/>
          <w:color w:val="000000"/>
          <w:kern w:val="0"/>
          <w:sz w:val="32"/>
          <w:szCs w:val="32"/>
          <w:lang w:eastAsia="zh-CN"/>
        </w:rPr>
        <w:t>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人员经费</w:t>
      </w:r>
      <w:r>
        <w:rPr>
          <w:rFonts w:hint="eastAsia" w:ascii="仿宋" w:hAnsi="仿宋" w:eastAsia="仿宋" w:cs="仿宋"/>
          <w:color w:val="000000"/>
          <w:kern w:val="0"/>
          <w:sz w:val="32"/>
          <w:szCs w:val="32"/>
          <w:lang w:val="en-US" w:eastAsia="zh-CN"/>
        </w:rPr>
        <w:t>1256.90</w:t>
      </w:r>
      <w:r>
        <w:rPr>
          <w:rFonts w:hint="eastAsia" w:ascii="仿宋" w:hAnsi="仿宋" w:eastAsia="仿宋" w:cs="仿宋"/>
          <w:color w:val="000000"/>
          <w:kern w:val="0"/>
          <w:sz w:val="32"/>
          <w:szCs w:val="32"/>
          <w:lang w:eastAsia="zh-CN"/>
        </w:rPr>
        <w:t>万元，主要包括（以实际支出经济分类科目填列）：基本工资、津贴补贴、奖金、社会保险缴费、绩效工资、机关事业单位基本养老保险缴费、其他工资福利支出、离休费、住房公积金、其他对个人和家庭的补助支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eastAsia="zh-CN"/>
        </w:rPr>
        <w:t>公用经费</w:t>
      </w:r>
      <w:r>
        <w:rPr>
          <w:rFonts w:hint="eastAsia" w:ascii="仿宋" w:hAnsi="仿宋" w:eastAsia="仿宋" w:cs="仿宋"/>
          <w:color w:val="000000"/>
          <w:kern w:val="0"/>
          <w:sz w:val="32"/>
          <w:szCs w:val="32"/>
          <w:lang w:val="en-US" w:eastAsia="zh-CN"/>
        </w:rPr>
        <w:t>213.81万元</w:t>
      </w:r>
      <w:r>
        <w:rPr>
          <w:rFonts w:hint="eastAsia" w:ascii="仿宋" w:hAnsi="仿宋" w:eastAsia="仿宋" w:cs="仿宋"/>
          <w:color w:val="000000"/>
          <w:kern w:val="0"/>
          <w:sz w:val="32"/>
          <w:szCs w:val="32"/>
          <w:lang w:eastAsia="zh-CN"/>
        </w:rPr>
        <w:t>，主要包括（以实际支出经济分类科目填列）：办公费、邮电费、差旅费、维修（护）费、会议费、培训费、劳务费、工会经费、福利费、其他交通费、其他商品和服务支出等。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eastAsia="zh-CN"/>
        </w:rPr>
        <w:t>及时足额上缴非税收入。各项非税收入按规定及时足额缴入财政专户，做到应收尽收、应缴尽缴，不存在任何形式的隐瞒、截留、挤占、挪用、坐支或者私分的现象。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lang w:eastAsia="zh-CN"/>
        </w:rPr>
        <w:t>严格执行批复的预算。严格执行按法定程序批复的预算，不存在无预算、超预算执行的情况。基本支出严格执行有关政策规定，不存在擅自扩大开支范围或提高标准的现象。项目支出严格按批准的用途专款专用，不存在自行改变项目内容和资金使用范围的情况。</w:t>
      </w:r>
      <w:r>
        <w:rPr>
          <w:rFonts w:hint="eastAsia" w:ascii="仿宋" w:hAnsi="仿宋" w:eastAsia="仿宋" w:cs="仿宋"/>
          <w:color w:val="000000"/>
          <w:kern w:val="0"/>
          <w:sz w:val="32"/>
          <w:szCs w:val="32"/>
          <w:lang w:val="en-US" w:eastAsia="zh-CN"/>
        </w:rPr>
        <w:t>2020</w:t>
      </w:r>
      <w:r>
        <w:rPr>
          <w:rFonts w:hint="eastAsia" w:ascii="仿宋" w:hAnsi="仿宋" w:eastAsia="仿宋" w:cs="仿宋"/>
          <w:color w:val="000000"/>
          <w:kern w:val="0"/>
          <w:sz w:val="32"/>
          <w:szCs w:val="32"/>
          <w:lang w:eastAsia="zh-CN"/>
        </w:rPr>
        <w:t>年我单位预算专用项目共</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lang w:eastAsia="zh-CN"/>
        </w:rPr>
        <w:t>个：设备采购，预算经费为</w:t>
      </w:r>
      <w:r>
        <w:rPr>
          <w:rFonts w:hint="eastAsia" w:ascii="仿宋" w:hAnsi="仿宋" w:eastAsia="仿宋" w:cs="仿宋"/>
          <w:color w:val="000000"/>
          <w:kern w:val="0"/>
          <w:sz w:val="32"/>
          <w:szCs w:val="32"/>
          <w:lang w:val="en-US" w:eastAsia="zh-CN"/>
        </w:rPr>
        <w:t>15.49</w:t>
      </w:r>
      <w:r>
        <w:rPr>
          <w:rFonts w:hint="eastAsia" w:ascii="仿宋" w:hAnsi="仿宋" w:eastAsia="仿宋" w:cs="仿宋"/>
          <w:color w:val="000000"/>
          <w:kern w:val="0"/>
          <w:sz w:val="32"/>
          <w:szCs w:val="32"/>
          <w:lang w:eastAsia="zh-CN"/>
        </w:rPr>
        <w:t>万元；各专工委室工作经费，预算经费为</w:t>
      </w:r>
      <w:r>
        <w:rPr>
          <w:rFonts w:hint="eastAsia" w:ascii="仿宋" w:hAnsi="仿宋" w:eastAsia="仿宋" w:cs="仿宋"/>
          <w:color w:val="000000"/>
          <w:kern w:val="0"/>
          <w:sz w:val="32"/>
          <w:szCs w:val="32"/>
          <w:lang w:val="en-US" w:eastAsia="zh-CN"/>
        </w:rPr>
        <w:t>70</w:t>
      </w:r>
      <w:r>
        <w:rPr>
          <w:rFonts w:hint="eastAsia" w:ascii="仿宋" w:hAnsi="仿宋" w:eastAsia="仿宋" w:cs="仿宋"/>
          <w:color w:val="000000"/>
          <w:kern w:val="0"/>
          <w:sz w:val="32"/>
          <w:szCs w:val="32"/>
          <w:lang w:eastAsia="zh-CN"/>
        </w:rPr>
        <w:t>万元；地方立法工作专项经费，预算经费为</w:t>
      </w:r>
      <w:r>
        <w:rPr>
          <w:rFonts w:hint="eastAsia" w:ascii="仿宋" w:hAnsi="仿宋" w:eastAsia="仿宋" w:cs="仿宋"/>
          <w:color w:val="000000"/>
          <w:kern w:val="0"/>
          <w:sz w:val="32"/>
          <w:szCs w:val="32"/>
          <w:lang w:val="en-US" w:eastAsia="zh-CN"/>
        </w:rPr>
        <w:t>18</w:t>
      </w:r>
      <w:r>
        <w:rPr>
          <w:rFonts w:hint="eastAsia" w:ascii="仿宋" w:hAnsi="仿宋" w:eastAsia="仿宋" w:cs="仿宋"/>
          <w:color w:val="000000"/>
          <w:kern w:val="0"/>
          <w:sz w:val="32"/>
          <w:szCs w:val="32"/>
          <w:lang w:eastAsia="zh-CN"/>
        </w:rPr>
        <w:t>万元；预算审查咨询专家库专项经费，预算经费为</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lang w:eastAsia="zh-CN"/>
        </w:rPr>
        <w:t>万元，代表活动费，预算经费</w:t>
      </w:r>
      <w:r>
        <w:rPr>
          <w:rFonts w:hint="eastAsia" w:ascii="仿宋" w:hAnsi="仿宋" w:eastAsia="仿宋" w:cs="仿宋"/>
          <w:color w:val="000000"/>
          <w:kern w:val="0"/>
          <w:sz w:val="32"/>
          <w:szCs w:val="32"/>
          <w:lang w:val="en-US" w:eastAsia="zh-CN"/>
        </w:rPr>
        <w:t>57.9万，市七届人大六次会议经费，预算经费137.1万元，人大会议费，预算经费44.3万元，预算经费2.46万元，公车购置专项经费，预算经费39.14万元</w:t>
      </w:r>
      <w:r>
        <w:rPr>
          <w:rFonts w:hint="eastAsia" w:ascii="仿宋" w:hAnsi="仿宋" w:eastAsia="仿宋" w:cs="仿宋"/>
          <w:color w:val="000000"/>
          <w:kern w:val="0"/>
          <w:sz w:val="32"/>
          <w:szCs w:val="32"/>
          <w:lang w:eastAsia="zh-CN"/>
        </w:rPr>
        <w:t>。以上</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lang w:eastAsia="zh-CN"/>
        </w:rPr>
        <w:t>个项目截止2020年底均全部完成。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lang w:eastAsia="zh-CN"/>
        </w:rPr>
        <w:t>严格规范预算调剂。在预算执行过程中，因特殊情况需要调整、细化、追加预算的，均按相关程序向财政部门申请，经财政部门批准后，按调剂、增加后预算执行。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lang w:eastAsia="zh-CN"/>
        </w:rPr>
        <w:t>严格执行政府采购制度。按照政府采购预算，做到合理规划采购时间，及时备案采购计划，严格按照政府采购计划开展采购活动，采购活动结束后，在规定时间内与中标供应商签订书面合同，做到规范履约验收，及时支付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lang w:eastAsia="zh-CN"/>
        </w:rPr>
        <w:t>严格公务卡强制结算。在国内发生的公务差旅费、公务接待费、公务用车运行维护费、会议费、培训费等支出做到优先使用公务卡结算、凡是可以用公务卡、转账方式支付的，不存在用现金支付的现象。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6.</w:t>
      </w:r>
      <w:r>
        <w:rPr>
          <w:rFonts w:hint="eastAsia" w:ascii="仿宋" w:hAnsi="仿宋" w:eastAsia="仿宋" w:cs="仿宋"/>
          <w:color w:val="000000"/>
          <w:kern w:val="0"/>
          <w:sz w:val="32"/>
          <w:szCs w:val="32"/>
          <w:lang w:eastAsia="zh-CN"/>
        </w:rPr>
        <w:t>规范银行帐户管理。在开设单位对公帐户时按规定程序报经财政部门审批、备案。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lang w:eastAsia="zh-CN"/>
        </w:rPr>
        <w:t>加强决算编审工作。严格按照制度规定及财政部门统一要求编制决定，做到决算数据收支真实、数额准确、内容完整、报送及时。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（三）综合管理情况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1.单位内部往来款项管理。建立了往来款项定期清理机制。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lang w:eastAsia="zh-CN"/>
        </w:rPr>
        <w:t>建立资产管理制度，依法设置资产管理账簿，登记资产卡片，做到资产及时入账，账实相符，不存在资产账外管理。按照规定程序和权限，做好国有资产配置、使用、处置等事项的日常管理和监督管理，加强对外出租、对外投资等事项的专项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lang w:eastAsia="zh-CN"/>
        </w:rPr>
        <w:t>严格规范会计核算。认直执行《会计法》《会计基础工作规范》等法规制度，规范使用会计科目，不存在违规设置会计账簿、通过往来科目核算收支或通过收支科目核算往来，严格实施会计对账，不存在使用不合规的原始凭证进行列支，做到及时纠正会计不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lang w:eastAsia="zh-CN"/>
        </w:rPr>
        <w:t>完善单位内部财务管理制度并聘请第三方机构对单位财务进行审计，严格执行各项经费开支标准，不存在超标准乘坐交通工具、超标准食宿、超标准接待、超标准开会培训等。做到单位重大事项集体决策和会审制度，做到及时发现和纠正在预算执行、资金使用管理中存在的问题，做到过程留痕，责任可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（四）整体绩效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从整体情况来看，我单位严格按照年初预算进行部门整体支出。在支出过程中，能严格遵守各项规章制度，“三公经费”有所增加，主要是本年度因工作需要购置2辆公车。所有项目都详细制定了方案，严格按方案组织实施，并加强了监督。尤其是在专项经费支出上，坚持专款专用，按项目实施计划的进度情况进行资金拨付，无截留、无挪用等现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四、评价结论及建议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（一）评价结论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2020年，</w:t>
      </w:r>
      <w:r>
        <w:rPr>
          <w:rFonts w:hint="eastAsia" w:ascii="仿宋" w:hAnsi="仿宋" w:eastAsia="仿宋" w:cs="仿宋"/>
          <w:color w:val="000000"/>
          <w:kern w:val="0"/>
          <w:sz w:val="32"/>
          <w:szCs w:val="32"/>
          <w:lang w:val="zh-CN" w:eastAsia="zh-CN"/>
        </w:rPr>
        <w:t>我单位整体支出绩效自查自评结果良好，全年基本支出保证了单位的正常运转，项目支出保障了重点工作的开展，按照 2020 年度市级部门整体支出绩效评价指标体系对我单位部门预算编制、预算执行、完成结果、信息公开、整改反馈等方面进行了自评，最终得分</w:t>
      </w:r>
      <w:r>
        <w:rPr>
          <w:rFonts w:hint="eastAsia" w:ascii="仿宋" w:hAnsi="仿宋" w:eastAsia="仿宋" w:cs="仿宋"/>
          <w:color w:val="000000"/>
          <w:kern w:val="0"/>
          <w:sz w:val="32"/>
          <w:szCs w:val="32"/>
          <w:lang w:val="en-US" w:eastAsia="zh-CN"/>
        </w:rPr>
        <w:t>82.94</w:t>
      </w:r>
      <w:r>
        <w:rPr>
          <w:rFonts w:hint="eastAsia" w:ascii="仿宋" w:hAnsi="仿宋" w:eastAsia="仿宋" w:cs="仿宋"/>
          <w:color w:val="000000"/>
          <w:kern w:val="0"/>
          <w:sz w:val="32"/>
          <w:szCs w:val="32"/>
          <w:lang w:val="zh-CN" w:eastAsia="zh-CN"/>
        </w:rPr>
        <w:t>分。</w:t>
      </w:r>
      <w:r>
        <w:rPr>
          <w:rFonts w:hint="eastAsia" w:ascii="仿宋" w:hAnsi="仿宋" w:eastAsia="仿宋" w:cs="仿宋"/>
          <w:color w:val="000000"/>
          <w:kern w:val="0"/>
          <w:sz w:val="32"/>
          <w:szCs w:val="32"/>
          <w:lang w:val="en-US" w:eastAsia="zh-CN"/>
        </w:rPr>
        <w:t>我单位紧紧围绕年度目标任务，团结拼搏，锐意进取，扎实工作，</w:t>
      </w:r>
      <w:r>
        <w:rPr>
          <w:rFonts w:hint="eastAsia" w:ascii="仿宋" w:hAnsi="仿宋" w:eastAsia="仿宋" w:cs="仿宋"/>
          <w:color w:val="000000"/>
          <w:kern w:val="0"/>
          <w:sz w:val="32"/>
          <w:szCs w:val="32"/>
          <w:lang w:eastAsia="zh-CN"/>
        </w:rPr>
        <w:t>圆满完成了各项工作和任务，积极为全市经济社会发展做出了应有的贡献。</w:t>
      </w:r>
    </w:p>
    <w:p>
      <w:pPr>
        <w:spacing w:line="360" w:lineRule="auto"/>
        <w:ind w:firstLine="640" w:firstLineChars="200"/>
        <w:rPr>
          <w:rFonts w:hint="eastAsia" w:eastAsia="仿宋_GB2312" w:cs="仿宋_GB2312"/>
          <w:sz w:val="32"/>
          <w:szCs w:val="32"/>
          <w:lang w:val="en-US" w:eastAsia="zh-CN"/>
        </w:rPr>
      </w:pPr>
      <w:r>
        <w:rPr>
          <w:rFonts w:hint="eastAsia" w:ascii="仿宋_GB2312" w:hAnsi="宋体" w:eastAsia="仿宋_GB2312" w:cs="宋体"/>
          <w:b w:val="0"/>
          <w:bCs w:val="0"/>
          <w:color w:val="000000"/>
          <w:kern w:val="0"/>
          <w:sz w:val="32"/>
          <w:szCs w:val="32"/>
          <w:highlight w:val="none"/>
          <w:shd w:val="clear" w:color="auto" w:fill="FFFFFF"/>
          <w:lang w:val="en-US" w:eastAsia="zh-CN" w:bidi="ar-SA"/>
        </w:rPr>
        <w:t>1</w:t>
      </w:r>
      <w:r>
        <w:rPr>
          <w:rFonts w:hint="eastAsia" w:ascii="仿宋_GB2312" w:hAnsi="宋体" w:eastAsia="仿宋_GB2312" w:cs="宋体"/>
          <w:b w:val="0"/>
          <w:bCs w:val="0"/>
          <w:color w:val="000000"/>
          <w:kern w:val="0"/>
          <w:sz w:val="32"/>
          <w:szCs w:val="32"/>
          <w:highlight w:val="none"/>
          <w:shd w:val="clear" w:color="auto" w:fill="FFFFFF"/>
          <w:lang w:val="zh-CN" w:eastAsia="zh-CN" w:bidi="ar-SA"/>
        </w:rPr>
        <w:t>.主动作为、积极应对，疫情防控彰显担当。</w:t>
      </w:r>
      <w:r>
        <w:rPr>
          <w:rFonts w:hint="eastAsia" w:eastAsia="仿宋_GB2312" w:cs="仿宋_GB2312"/>
          <w:sz w:val="32"/>
          <w:szCs w:val="32"/>
        </w:rPr>
        <w:t>面对新冠肺炎疫情的严峻挑战，市人大常委会坚决贯彻落实中央、省委和市委关于做好疫情防控的部署要求，迅速组织全市各级人大常委会、人大代表和人大工作者，积极参与疫情防控，以实际行动诠释人大的职责使命和为民情怀。</w:t>
      </w:r>
      <w:r>
        <w:rPr>
          <w:rFonts w:hint="eastAsia"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仿宋_GB2312"/>
          <w:sz w:val="32"/>
          <w:szCs w:val="32"/>
          <w:lang w:val="en-US" w:eastAsia="zh-CN"/>
        </w:rPr>
      </w:pPr>
      <w:r>
        <w:rPr>
          <w:rFonts w:hint="eastAsia" w:eastAsia="仿宋_GB2312" w:cs="仿宋_GB2312"/>
          <w:sz w:val="32"/>
          <w:szCs w:val="32"/>
          <w:lang w:val="en-US" w:eastAsia="zh-CN"/>
        </w:rPr>
        <w:t>2.围绕中心目标，推动重大决策落实。围绕市委决策部署落地，班子成员联系督导9个重点项目与企业，助力联系企业正常生产、项目有序推进。围绕融入成渝地区双城经济圈建设，完成关于推进与成都东部新区协同发展的课题研究。持续开展“脱贫攻坚—人大代表再行动”活动，积极为全面小康献智出力。围绕打赢疫情防控阻击战，发动全市7000余名人大代表深入一线帮助复工复产、协调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仿宋_GB2312"/>
          <w:sz w:val="32"/>
          <w:szCs w:val="32"/>
          <w:lang w:val="en-US" w:eastAsia="zh-CN"/>
        </w:rPr>
      </w:pPr>
      <w:r>
        <w:rPr>
          <w:rFonts w:hint="eastAsia" w:eastAsia="仿宋_GB2312" w:cs="仿宋_GB2312"/>
          <w:sz w:val="32"/>
          <w:szCs w:val="32"/>
          <w:lang w:val="en-US" w:eastAsia="zh-CN"/>
        </w:rPr>
        <w:t>3.依法履职行权，持续提升工作质效。完成《遂宁市文明行为促进条例》立法任务，启动海绵城市建设与管理立法前期工作。审查批准市级预算调整方案和政府债务限额等议案，听取和审议融入成渝地区双城经济圈建设、生猪产业发展、文旅融合发展、公共卫生防疫体系建设、违法建设治理、法治化营商环境建设等报告，着力助推高质量发展、民生改善；开展《四川省禁毒条例》执法检查，配合国、省人大开展野生动物保护“两法”“两决定”等执法检查。依法作出同意大英撤县设区等决议决定27项、任免国家机关工作人员54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仿宋_GB2312"/>
          <w:sz w:val="32"/>
          <w:szCs w:val="32"/>
          <w:lang w:val="en-US" w:eastAsia="zh-CN"/>
        </w:rPr>
      </w:pPr>
      <w:r>
        <w:rPr>
          <w:rFonts w:hint="eastAsia" w:eastAsia="仿宋_GB2312" w:cs="仿宋_GB2312"/>
          <w:sz w:val="32"/>
          <w:szCs w:val="32"/>
          <w:lang w:val="en-US" w:eastAsia="zh-CN"/>
        </w:rPr>
        <w:t>4.发挥代表职能，扎实推进监督工作。建立人大代表联系村（社区）制度，推动代表工作向基层延伸；持续组织开展市人大代表监督营商环境和民生工作专项监督活动，牵头督办“完善全市重大疫情防控体系”等重点建议10项。大力探索专业代表小组履职实践，推进民生实事项目人大代表票决制试点，促使代表主体作用更好发挥。督促办理代表意见建议155件，“满意”“基本满意”率达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仿宋_GB2312"/>
          <w:sz w:val="32"/>
          <w:szCs w:val="32"/>
          <w:lang w:val="en-US" w:eastAsia="zh-CN"/>
        </w:rPr>
      </w:pPr>
      <w:r>
        <w:rPr>
          <w:rFonts w:hint="eastAsia" w:eastAsia="仿宋_GB2312" w:cs="仿宋_GB2312"/>
          <w:sz w:val="32"/>
          <w:szCs w:val="32"/>
          <w:lang w:val="en-US" w:eastAsia="zh-CN"/>
        </w:rPr>
        <w:t>5.坚持从严管理，切实加强自身建设。优化专门委员会设置，依法将市人大财经委更名为市人大经济委，增设市人大预算委。坚决执行中央八项规定和省、市十项规定及实施细则，认真落实“三重一大”和民主集中制，完善优化常委会机关内部运行机制和管理措施。认真落实“营商环境优化提升年”部署，工作效能不断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en-US" w:eastAsia="zh-CN"/>
        </w:rPr>
        <w:t>（二）</w:t>
      </w:r>
      <w:r>
        <w:rPr>
          <w:rFonts w:hint="eastAsia" w:ascii="仿宋" w:hAnsi="仿宋" w:eastAsia="仿宋" w:cs="仿宋"/>
          <w:color w:val="000000"/>
          <w:kern w:val="0"/>
          <w:sz w:val="32"/>
          <w:szCs w:val="32"/>
          <w:lang w:val="zh-CN" w:eastAsia="zh-CN"/>
        </w:rPr>
        <w:t>存在问题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1.预算编制方面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我单位预算编制准确性有待提高。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2.预算执行方面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我单位在预算执行进度上存在滞后现象，对于支出控制的把控度不够。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3.完成结果方面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根据部门整体绩效目标制定情况，年底总结绩效完成情况，我单位的绩效完成情况良好。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（二）改进建议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1.重视部门整体支出的绩效评价工作，自主学习绩效评价相关知识，树立绩效评价意识，提高工作实效。年初制定部门整体支出绩效目标，并尽量描述清晰、精确。年底进行绩效目标完成情况总结，对应目标逐一进行回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2.强化预算编制，严格遵守《预算法》，各项经费收入全部纳入预算管理，提高预算精准度。追加调整预算，严格执行相应的审批程序；预算内各项资金的来源、使用科目的设置规范化。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3.加强部门资金管理，强化对事前、事中控制，对支出进行合理把控，避免超预算、无预算开支的现象发生。积极开展年度中期评估，对下半年度资金做好计划，以提高资金使用质效。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4.加强财务会计人员业务培训，提升业务质量。严格执行会计基础工作规范。及时准确地记录、反映单位经济活动，确保会计制度遵守执行。须按照统一的会计准则和制度的规定对原始凭证进行审核，对不真实、不合法的原始凭证有权不予接受，并向单位负责人报告；对记载不准确、不完整的原始凭证及时予以退回，并按照国家统一的会计制度的规定要求更正、补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zh-CN" w:eastAsia="zh-CN"/>
        </w:rPr>
        <w:t>5.加强完善内部控制体系，加强财政专项资金的监管工作，做到财政资金流程合规、使用透明、拨付及时，均衡支出。</w:t>
      </w:r>
    </w:p>
    <w:p>
      <w:pPr>
        <w:spacing w:line="580" w:lineRule="exact"/>
        <w:rPr>
          <w:rFonts w:ascii="黑体" w:hAnsi="黑体" w:eastAsia="黑体" w:cs="黑体"/>
          <w:sz w:val="32"/>
          <w:szCs w:val="32"/>
        </w:rPr>
      </w:pPr>
    </w:p>
    <w:p>
      <w:pPr>
        <w:spacing w:line="600" w:lineRule="exact"/>
        <w:jc w:val="center"/>
        <w:outlineLvl w:val="0"/>
        <w:rPr>
          <w:rFonts w:hint="eastAsia" w:ascii="黑体" w:hAnsi="黑体" w:eastAsia="黑体"/>
          <w:color w:val="000000"/>
          <w:sz w:val="44"/>
          <w:szCs w:val="44"/>
        </w:rPr>
      </w:pPr>
      <w:bookmarkStart w:id="57"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6"/>
          <w:rFonts w:ascii="黑体" w:hAnsi="黑体" w:eastAsia="黑体"/>
          <w:b w:val="0"/>
        </w:rPr>
      </w:pPr>
      <w:r>
        <w:rPr>
          <w:rFonts w:hint="eastAsia" w:ascii="黑体" w:hAnsi="黑体" w:eastAsia="黑体"/>
          <w:color w:val="000000"/>
          <w:sz w:val="44"/>
          <w:szCs w:val="44"/>
        </w:rPr>
        <w:t>第</w:t>
      </w:r>
      <w:r>
        <w:rPr>
          <w:rStyle w:val="26"/>
          <w:rFonts w:hint="eastAsia" w:ascii="黑体" w:hAnsi="黑体" w:eastAsia="黑体"/>
          <w:b w:val="0"/>
        </w:rPr>
        <w:t>五部分 附表</w:t>
      </w:r>
      <w:bookmarkEnd w:id="56"/>
      <w:bookmarkEnd w:id="57"/>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58"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58"/>
    </w:p>
    <w:p>
      <w:pPr>
        <w:pStyle w:val="4"/>
        <w:rPr>
          <w:rFonts w:ascii="仿宋" w:hAnsi="仿宋" w:eastAsia="仿宋"/>
          <w:color w:val="000000"/>
        </w:rPr>
      </w:pPr>
      <w:bookmarkStart w:id="59" w:name="_Toc15396620"/>
      <w:r>
        <w:rPr>
          <w:rFonts w:hint="eastAsia" w:ascii="仿宋" w:hAnsi="仿宋" w:eastAsia="仿宋"/>
          <w:b w:val="0"/>
          <w:color w:val="000000"/>
        </w:rPr>
        <w:t>二、收</w:t>
      </w:r>
      <w:r>
        <w:rPr>
          <w:rStyle w:val="27"/>
          <w:rFonts w:hint="eastAsia" w:ascii="仿宋" w:hAnsi="仿宋" w:eastAsia="仿宋"/>
          <w:b w:val="0"/>
          <w:bCs w:val="0"/>
        </w:rPr>
        <w:t>入决算表</w:t>
      </w:r>
      <w:bookmarkEnd w:id="59"/>
    </w:p>
    <w:p>
      <w:pPr>
        <w:pStyle w:val="4"/>
        <w:rPr>
          <w:rFonts w:ascii="仿宋" w:hAnsi="仿宋" w:eastAsia="仿宋"/>
          <w:color w:val="000000"/>
        </w:rPr>
      </w:pPr>
      <w:bookmarkStart w:id="60"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出决算表</w:t>
      </w:r>
      <w:bookmarkEnd w:id="60"/>
    </w:p>
    <w:p>
      <w:pPr>
        <w:pStyle w:val="4"/>
        <w:rPr>
          <w:rFonts w:ascii="仿宋" w:hAnsi="仿宋" w:eastAsia="仿宋"/>
          <w:b w:val="0"/>
          <w:color w:val="000000"/>
        </w:rPr>
      </w:pPr>
      <w:bookmarkStart w:id="61"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1"/>
    </w:p>
    <w:p>
      <w:pPr>
        <w:pStyle w:val="4"/>
        <w:rPr>
          <w:rStyle w:val="27"/>
          <w:rFonts w:ascii="仿宋" w:hAnsi="仿宋" w:eastAsia="仿宋"/>
          <w:b w:val="0"/>
          <w:bCs w:val="0"/>
        </w:rPr>
      </w:pPr>
      <w:bookmarkStart w:id="62"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w:t>
      </w:r>
      <w:bookmarkEnd w:id="62"/>
      <w:bookmarkStart w:id="63" w:name="_Toc15396624"/>
    </w:p>
    <w:p>
      <w:pPr>
        <w:pStyle w:val="4"/>
        <w:rPr>
          <w:rFonts w:ascii="仿宋" w:hAnsi="仿宋" w:eastAsia="仿宋"/>
          <w:color w:val="000000"/>
        </w:rPr>
      </w:pPr>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3"/>
    </w:p>
    <w:p>
      <w:pPr>
        <w:pStyle w:val="4"/>
        <w:rPr>
          <w:rFonts w:ascii="仿宋" w:hAnsi="仿宋" w:eastAsia="仿宋"/>
          <w:color w:val="000000"/>
        </w:rPr>
      </w:pPr>
      <w:bookmarkStart w:id="64"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64"/>
    </w:p>
    <w:p>
      <w:pPr>
        <w:pStyle w:val="4"/>
        <w:rPr>
          <w:rFonts w:ascii="仿宋" w:hAnsi="仿宋" w:eastAsia="仿宋"/>
          <w:color w:val="000000"/>
        </w:rPr>
      </w:pPr>
      <w:bookmarkStart w:id="65"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65"/>
    </w:p>
    <w:p>
      <w:pPr>
        <w:pStyle w:val="4"/>
        <w:rPr>
          <w:rFonts w:ascii="仿宋" w:hAnsi="仿宋" w:eastAsia="仿宋"/>
          <w:color w:val="000000"/>
        </w:rPr>
      </w:pPr>
      <w:bookmarkStart w:id="66"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66"/>
    </w:p>
    <w:p>
      <w:pPr>
        <w:pStyle w:val="4"/>
        <w:rPr>
          <w:rFonts w:ascii="仿宋" w:hAnsi="仿宋" w:eastAsia="仿宋"/>
          <w:color w:val="000000"/>
        </w:rPr>
      </w:pPr>
      <w:bookmarkStart w:id="67"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67"/>
    </w:p>
    <w:p>
      <w:pPr>
        <w:pStyle w:val="4"/>
        <w:rPr>
          <w:rFonts w:ascii="仿宋" w:hAnsi="仿宋" w:eastAsia="仿宋"/>
          <w:color w:val="000000"/>
        </w:rPr>
      </w:pPr>
      <w:bookmarkStart w:id="68"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68"/>
    </w:p>
    <w:p>
      <w:pPr>
        <w:pStyle w:val="4"/>
        <w:rPr>
          <w:rFonts w:ascii="仿宋" w:hAnsi="仿宋" w:eastAsia="仿宋"/>
          <w:color w:val="000000"/>
        </w:rPr>
      </w:pPr>
      <w:bookmarkStart w:id="69"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69"/>
    </w:p>
    <w:p>
      <w:pPr>
        <w:pStyle w:val="4"/>
        <w:rPr>
          <w:rFonts w:ascii="仿宋" w:hAnsi="仿宋" w:eastAsia="仿宋"/>
          <w:color w:val="000000" w:themeColor="text1"/>
          <w14:textFill>
            <w14:solidFill>
              <w14:schemeClr w14:val="tx1"/>
            </w14:solidFill>
          </w14:textFill>
        </w:rPr>
      </w:pPr>
      <w:bookmarkStart w:id="70"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13</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C90741"/>
    <w:multiLevelType w:val="singleLevel"/>
    <w:tmpl w:val="9DC90741"/>
    <w:lvl w:ilvl="0" w:tentative="0">
      <w:start w:val="4"/>
      <w:numFmt w:val="decimal"/>
      <w:suff w:val="nothing"/>
      <w:lvlText w:val="（%1）"/>
      <w:lvlJc w:val="left"/>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133AA"/>
    <w:rsid w:val="000222C6"/>
    <w:rsid w:val="00024DBF"/>
    <w:rsid w:val="0002549F"/>
    <w:rsid w:val="000468DB"/>
    <w:rsid w:val="00056363"/>
    <w:rsid w:val="0006487A"/>
    <w:rsid w:val="00065F8F"/>
    <w:rsid w:val="00070A43"/>
    <w:rsid w:val="000768F2"/>
    <w:rsid w:val="0009184B"/>
    <w:rsid w:val="00094236"/>
    <w:rsid w:val="0009593C"/>
    <w:rsid w:val="00097322"/>
    <w:rsid w:val="000A6A92"/>
    <w:rsid w:val="000B047F"/>
    <w:rsid w:val="000B0B85"/>
    <w:rsid w:val="000B5923"/>
    <w:rsid w:val="000B5A48"/>
    <w:rsid w:val="000B6FF3"/>
    <w:rsid w:val="000C3467"/>
    <w:rsid w:val="000C3CA6"/>
    <w:rsid w:val="000D1267"/>
    <w:rsid w:val="000D1D50"/>
    <w:rsid w:val="000D5782"/>
    <w:rsid w:val="000E6613"/>
    <w:rsid w:val="000E7119"/>
    <w:rsid w:val="00114E9B"/>
    <w:rsid w:val="00126F3A"/>
    <w:rsid w:val="00142216"/>
    <w:rsid w:val="00144D6A"/>
    <w:rsid w:val="0014729F"/>
    <w:rsid w:val="001477C4"/>
    <w:rsid w:val="00157BAB"/>
    <w:rsid w:val="001654D1"/>
    <w:rsid w:val="001731A3"/>
    <w:rsid w:val="00174518"/>
    <w:rsid w:val="0018106D"/>
    <w:rsid w:val="001877A7"/>
    <w:rsid w:val="00191536"/>
    <w:rsid w:val="00196687"/>
    <w:rsid w:val="001A7AF4"/>
    <w:rsid w:val="001C0962"/>
    <w:rsid w:val="001D7531"/>
    <w:rsid w:val="001E737D"/>
    <w:rsid w:val="001F0592"/>
    <w:rsid w:val="001F7506"/>
    <w:rsid w:val="002006CD"/>
    <w:rsid w:val="00202B36"/>
    <w:rsid w:val="00204B7A"/>
    <w:rsid w:val="00204CDE"/>
    <w:rsid w:val="0021101A"/>
    <w:rsid w:val="00220536"/>
    <w:rsid w:val="00235629"/>
    <w:rsid w:val="00240E3E"/>
    <w:rsid w:val="00260C38"/>
    <w:rsid w:val="002616C0"/>
    <w:rsid w:val="00265372"/>
    <w:rsid w:val="00265D22"/>
    <w:rsid w:val="002662AA"/>
    <w:rsid w:val="0027674D"/>
    <w:rsid w:val="00280496"/>
    <w:rsid w:val="00294DC9"/>
    <w:rsid w:val="00295495"/>
    <w:rsid w:val="002A31DE"/>
    <w:rsid w:val="002B2613"/>
    <w:rsid w:val="002D19B0"/>
    <w:rsid w:val="002D6D05"/>
    <w:rsid w:val="002F1818"/>
    <w:rsid w:val="002F567B"/>
    <w:rsid w:val="003216A9"/>
    <w:rsid w:val="00335A74"/>
    <w:rsid w:val="00353CE3"/>
    <w:rsid w:val="0036561B"/>
    <w:rsid w:val="0037013F"/>
    <w:rsid w:val="00380C92"/>
    <w:rsid w:val="003A0B33"/>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9722E"/>
    <w:rsid w:val="004A711F"/>
    <w:rsid w:val="004B199D"/>
    <w:rsid w:val="004B4690"/>
    <w:rsid w:val="004C00EE"/>
    <w:rsid w:val="004E0A2D"/>
    <w:rsid w:val="004E206B"/>
    <w:rsid w:val="004E6DF7"/>
    <w:rsid w:val="004F0FBD"/>
    <w:rsid w:val="004F1D62"/>
    <w:rsid w:val="004F403E"/>
    <w:rsid w:val="00505A47"/>
    <w:rsid w:val="00512FDA"/>
    <w:rsid w:val="00520DA0"/>
    <w:rsid w:val="00544245"/>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7983"/>
    <w:rsid w:val="0066343B"/>
    <w:rsid w:val="00664777"/>
    <w:rsid w:val="006748A4"/>
    <w:rsid w:val="00681A31"/>
    <w:rsid w:val="00683E73"/>
    <w:rsid w:val="00693507"/>
    <w:rsid w:val="006A3141"/>
    <w:rsid w:val="006A5E34"/>
    <w:rsid w:val="006B2422"/>
    <w:rsid w:val="006B2B9A"/>
    <w:rsid w:val="006C1937"/>
    <w:rsid w:val="006F020C"/>
    <w:rsid w:val="00705665"/>
    <w:rsid w:val="007111F2"/>
    <w:rsid w:val="007127B7"/>
    <w:rsid w:val="0071798E"/>
    <w:rsid w:val="00722EDA"/>
    <w:rsid w:val="00726ECE"/>
    <w:rsid w:val="00727533"/>
    <w:rsid w:val="007416B6"/>
    <w:rsid w:val="00746F48"/>
    <w:rsid w:val="0075404D"/>
    <w:rsid w:val="0076182A"/>
    <w:rsid w:val="00767B7E"/>
    <w:rsid w:val="0077329B"/>
    <w:rsid w:val="007770C3"/>
    <w:rsid w:val="00784D24"/>
    <w:rsid w:val="00785FBA"/>
    <w:rsid w:val="00786E4A"/>
    <w:rsid w:val="007875EB"/>
    <w:rsid w:val="0079426B"/>
    <w:rsid w:val="007A1F91"/>
    <w:rsid w:val="007B7DB1"/>
    <w:rsid w:val="007D1682"/>
    <w:rsid w:val="007D312A"/>
    <w:rsid w:val="007D3F19"/>
    <w:rsid w:val="007E23B0"/>
    <w:rsid w:val="007F1991"/>
    <w:rsid w:val="007F2C2F"/>
    <w:rsid w:val="007F55FC"/>
    <w:rsid w:val="007F5665"/>
    <w:rsid w:val="00800112"/>
    <w:rsid w:val="00802C88"/>
    <w:rsid w:val="00813348"/>
    <w:rsid w:val="008222E1"/>
    <w:rsid w:val="008253BB"/>
    <w:rsid w:val="00833962"/>
    <w:rsid w:val="0083706E"/>
    <w:rsid w:val="008408F6"/>
    <w:rsid w:val="008423A5"/>
    <w:rsid w:val="00850625"/>
    <w:rsid w:val="00853718"/>
    <w:rsid w:val="0085503C"/>
    <w:rsid w:val="00855221"/>
    <w:rsid w:val="0085547E"/>
    <w:rsid w:val="00860645"/>
    <w:rsid w:val="00871F71"/>
    <w:rsid w:val="00872FD8"/>
    <w:rsid w:val="00873825"/>
    <w:rsid w:val="00885AF4"/>
    <w:rsid w:val="008939CD"/>
    <w:rsid w:val="008B768C"/>
    <w:rsid w:val="008C4457"/>
    <w:rsid w:val="008C4DB1"/>
    <w:rsid w:val="008C4EAF"/>
    <w:rsid w:val="008C5176"/>
    <w:rsid w:val="008C7FD0"/>
    <w:rsid w:val="008E1DE7"/>
    <w:rsid w:val="008E707C"/>
    <w:rsid w:val="00900B08"/>
    <w:rsid w:val="00902155"/>
    <w:rsid w:val="00902FA3"/>
    <w:rsid w:val="009213E2"/>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466B0"/>
    <w:rsid w:val="00A56DF2"/>
    <w:rsid w:val="00A56E6E"/>
    <w:rsid w:val="00A655B4"/>
    <w:rsid w:val="00A65DCF"/>
    <w:rsid w:val="00A67AB5"/>
    <w:rsid w:val="00A71DB0"/>
    <w:rsid w:val="00A72762"/>
    <w:rsid w:val="00A733B2"/>
    <w:rsid w:val="00A741C2"/>
    <w:rsid w:val="00A84D7E"/>
    <w:rsid w:val="00A91760"/>
    <w:rsid w:val="00A93B00"/>
    <w:rsid w:val="00A93C21"/>
    <w:rsid w:val="00AA6278"/>
    <w:rsid w:val="00AB64C9"/>
    <w:rsid w:val="00AC3C6A"/>
    <w:rsid w:val="00AD0F83"/>
    <w:rsid w:val="00AD5620"/>
    <w:rsid w:val="00AD656B"/>
    <w:rsid w:val="00AD7C1B"/>
    <w:rsid w:val="00AE16BA"/>
    <w:rsid w:val="00AE1EBE"/>
    <w:rsid w:val="00AF2733"/>
    <w:rsid w:val="00B03C9D"/>
    <w:rsid w:val="00B060AE"/>
    <w:rsid w:val="00B076F2"/>
    <w:rsid w:val="00B10517"/>
    <w:rsid w:val="00B14E76"/>
    <w:rsid w:val="00B161B8"/>
    <w:rsid w:val="00B2048C"/>
    <w:rsid w:val="00B310B9"/>
    <w:rsid w:val="00B319CF"/>
    <w:rsid w:val="00B35F3F"/>
    <w:rsid w:val="00B36CBB"/>
    <w:rsid w:val="00B425E0"/>
    <w:rsid w:val="00B440AA"/>
    <w:rsid w:val="00B44B70"/>
    <w:rsid w:val="00B53C56"/>
    <w:rsid w:val="00B57DAF"/>
    <w:rsid w:val="00B6523F"/>
    <w:rsid w:val="00B77EA6"/>
    <w:rsid w:val="00B81598"/>
    <w:rsid w:val="00B841F1"/>
    <w:rsid w:val="00B944D6"/>
    <w:rsid w:val="00BB2627"/>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1645"/>
    <w:rsid w:val="00C533CC"/>
    <w:rsid w:val="00C5751C"/>
    <w:rsid w:val="00C61BBC"/>
    <w:rsid w:val="00C61BFC"/>
    <w:rsid w:val="00C62B85"/>
    <w:rsid w:val="00C65438"/>
    <w:rsid w:val="00C91CBB"/>
    <w:rsid w:val="00CB4E70"/>
    <w:rsid w:val="00CC09B6"/>
    <w:rsid w:val="00CC2E4B"/>
    <w:rsid w:val="00CC5768"/>
    <w:rsid w:val="00CC666F"/>
    <w:rsid w:val="00CD1E3F"/>
    <w:rsid w:val="00CE44F6"/>
    <w:rsid w:val="00CE49DA"/>
    <w:rsid w:val="00CE7B61"/>
    <w:rsid w:val="00CF2075"/>
    <w:rsid w:val="00D00095"/>
    <w:rsid w:val="00D114F0"/>
    <w:rsid w:val="00D1408F"/>
    <w:rsid w:val="00D20620"/>
    <w:rsid w:val="00D254F7"/>
    <w:rsid w:val="00D26091"/>
    <w:rsid w:val="00D2685C"/>
    <w:rsid w:val="00D34E7C"/>
    <w:rsid w:val="00D35489"/>
    <w:rsid w:val="00D36AFE"/>
    <w:rsid w:val="00D51276"/>
    <w:rsid w:val="00D7035F"/>
    <w:rsid w:val="00D73FF2"/>
    <w:rsid w:val="00D94937"/>
    <w:rsid w:val="00DA2EC8"/>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0A42"/>
    <w:rsid w:val="00E41AB4"/>
    <w:rsid w:val="00E472B1"/>
    <w:rsid w:val="00E50624"/>
    <w:rsid w:val="00E508D5"/>
    <w:rsid w:val="00E568DF"/>
    <w:rsid w:val="00E64269"/>
    <w:rsid w:val="00E66797"/>
    <w:rsid w:val="00E7619C"/>
    <w:rsid w:val="00E82267"/>
    <w:rsid w:val="00E853CE"/>
    <w:rsid w:val="00E867B6"/>
    <w:rsid w:val="00E87F08"/>
    <w:rsid w:val="00EA010F"/>
    <w:rsid w:val="00EC38C3"/>
    <w:rsid w:val="00ED1B63"/>
    <w:rsid w:val="00ED3C1F"/>
    <w:rsid w:val="00ED4085"/>
    <w:rsid w:val="00ED420E"/>
    <w:rsid w:val="00ED6FBE"/>
    <w:rsid w:val="00EE2F57"/>
    <w:rsid w:val="00EF4C34"/>
    <w:rsid w:val="00EF77C6"/>
    <w:rsid w:val="00F05438"/>
    <w:rsid w:val="00F0671F"/>
    <w:rsid w:val="00F1361C"/>
    <w:rsid w:val="00F156F0"/>
    <w:rsid w:val="00F160C7"/>
    <w:rsid w:val="00F2408F"/>
    <w:rsid w:val="00F240E9"/>
    <w:rsid w:val="00F36D8F"/>
    <w:rsid w:val="00F417B1"/>
    <w:rsid w:val="00F43BF0"/>
    <w:rsid w:val="00F44C86"/>
    <w:rsid w:val="00F45853"/>
    <w:rsid w:val="00F602DF"/>
    <w:rsid w:val="00F63142"/>
    <w:rsid w:val="00F754A1"/>
    <w:rsid w:val="00F81FD9"/>
    <w:rsid w:val="00F841AA"/>
    <w:rsid w:val="00F84A94"/>
    <w:rsid w:val="00F87E96"/>
    <w:rsid w:val="00FA23E8"/>
    <w:rsid w:val="00FB2C6D"/>
    <w:rsid w:val="00FD3CC1"/>
    <w:rsid w:val="00FF1E02"/>
    <w:rsid w:val="00FF30B4"/>
    <w:rsid w:val="00FF37E7"/>
    <w:rsid w:val="01A72C15"/>
    <w:rsid w:val="03CE4981"/>
    <w:rsid w:val="04C625E9"/>
    <w:rsid w:val="0A271C43"/>
    <w:rsid w:val="0D325B5E"/>
    <w:rsid w:val="0D7B6572"/>
    <w:rsid w:val="0E494084"/>
    <w:rsid w:val="10C055FF"/>
    <w:rsid w:val="15D20098"/>
    <w:rsid w:val="16BB723D"/>
    <w:rsid w:val="1964527C"/>
    <w:rsid w:val="1A2E3A25"/>
    <w:rsid w:val="1CEB6DAB"/>
    <w:rsid w:val="1D283AD1"/>
    <w:rsid w:val="1E826555"/>
    <w:rsid w:val="214E0621"/>
    <w:rsid w:val="21D118ED"/>
    <w:rsid w:val="23C63F2E"/>
    <w:rsid w:val="240371BF"/>
    <w:rsid w:val="25DF7B91"/>
    <w:rsid w:val="260267B3"/>
    <w:rsid w:val="28265172"/>
    <w:rsid w:val="282702CB"/>
    <w:rsid w:val="29FD04D3"/>
    <w:rsid w:val="2BE16941"/>
    <w:rsid w:val="2F291CF5"/>
    <w:rsid w:val="305042C7"/>
    <w:rsid w:val="30CB62A7"/>
    <w:rsid w:val="319F7F4E"/>
    <w:rsid w:val="324C5E6D"/>
    <w:rsid w:val="35E86E23"/>
    <w:rsid w:val="36CF750E"/>
    <w:rsid w:val="37D75757"/>
    <w:rsid w:val="39F86E32"/>
    <w:rsid w:val="3A321471"/>
    <w:rsid w:val="4146676D"/>
    <w:rsid w:val="43463DA4"/>
    <w:rsid w:val="43BF4DCC"/>
    <w:rsid w:val="44C60AC6"/>
    <w:rsid w:val="4641224C"/>
    <w:rsid w:val="48615208"/>
    <w:rsid w:val="494C7CCB"/>
    <w:rsid w:val="4B5B5BEA"/>
    <w:rsid w:val="4D321D9D"/>
    <w:rsid w:val="4E060FDC"/>
    <w:rsid w:val="4ECE2238"/>
    <w:rsid w:val="50F15B28"/>
    <w:rsid w:val="547E6A53"/>
    <w:rsid w:val="55A851B6"/>
    <w:rsid w:val="574B63EC"/>
    <w:rsid w:val="59E101FF"/>
    <w:rsid w:val="5B5525CF"/>
    <w:rsid w:val="5DB33C0F"/>
    <w:rsid w:val="60864FB6"/>
    <w:rsid w:val="622148AE"/>
    <w:rsid w:val="62D05522"/>
    <w:rsid w:val="666757D9"/>
    <w:rsid w:val="669C6315"/>
    <w:rsid w:val="69635FE5"/>
    <w:rsid w:val="713A6013"/>
    <w:rsid w:val="72712E46"/>
    <w:rsid w:val="72734D90"/>
    <w:rsid w:val="749F0929"/>
    <w:rsid w:val="76DE6EBD"/>
    <w:rsid w:val="77DA1852"/>
    <w:rsid w:val="784767E7"/>
    <w:rsid w:val="79397BF8"/>
    <w:rsid w:val="7CFF6CD9"/>
    <w:rsid w:val="7D42469A"/>
    <w:rsid w:val="7DAD5953"/>
    <w:rsid w:val="7DB75AF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qFormat/>
    <w:uiPriority w:val="99"/>
    <w:rPr>
      <w:rFonts w:ascii="宋体" w:hAnsi="Courier New" w:cs="宋体"/>
      <w:sz w:val="32"/>
      <w:szCs w:val="32"/>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semiHidden/>
    <w:unhideWhenUsed/>
    <w:qFormat/>
    <w:uiPriority w:val="99"/>
    <w:pPr>
      <w:spacing w:beforeAutospacing="1" w:afterAutospacing="1"/>
      <w:jc w:val="left"/>
    </w:pPr>
    <w:rPr>
      <w:kern w:val="0"/>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9"/>
    <customShpInfo spid="_x0000_s1036"/>
    <customShpInfo spid="_x0000_s1037"/>
    <customShpInfo spid="_x0000_s1031"/>
    <customShpInfo spid="_x0000_s1032"/>
    <customShpInfo spid="_x0000_s1038"/>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35</Pages>
  <Words>2161</Words>
  <Characters>12321</Characters>
  <Lines>102</Lines>
  <Paragraphs>28</Paragraphs>
  <TotalTime>70</TotalTime>
  <ScaleCrop>false</ScaleCrop>
  <LinksUpToDate>false</LinksUpToDate>
  <CharactersWithSpaces>14454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刘江涛</cp:lastModifiedBy>
  <cp:lastPrinted>2021-08-20T02:01:00Z</cp:lastPrinted>
  <dcterms:modified xsi:type="dcterms:W3CDTF">2021-08-20T02:42:56Z</dcterms:modified>
  <dc:title>四川省***</dc:title>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50D94D607F094097B30186BBE5E6F652</vt:lpwstr>
  </property>
</Properties>
</file>